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EC79" w14:textId="77777777" w:rsidR="00FF3793" w:rsidRPr="00F20AD5" w:rsidRDefault="00AD53C1" w:rsidP="00FF3793">
      <w:pPr>
        <w:rPr>
          <w:b/>
        </w:rPr>
      </w:pPr>
      <w:r>
        <w:rPr>
          <w:b/>
        </w:rPr>
        <w:t>Tokensim</w:t>
      </w:r>
    </w:p>
    <w:p w14:paraId="4C08CF53" w14:textId="77777777" w:rsidR="00F20AD5" w:rsidRPr="00F20AD5" w:rsidRDefault="00F20AD5" w:rsidP="00F20AD5">
      <w:pPr>
        <w:rPr>
          <w:rFonts w:cstheme="minorHAnsi"/>
        </w:rPr>
      </w:pPr>
      <w:r w:rsidRPr="00F20AD5">
        <w:rPr>
          <w:rFonts w:cstheme="minorHAnsi"/>
          <w:i/>
          <w:u w:val="single"/>
        </w:rPr>
        <w:t>Objectives:</w:t>
      </w:r>
      <w:r w:rsidRPr="00F20AD5">
        <w:rPr>
          <w:rFonts w:cstheme="minorHAnsi"/>
        </w:rPr>
        <w:t xml:space="preserve"> </w:t>
      </w:r>
    </w:p>
    <w:p w14:paraId="0906762D" w14:textId="77777777" w:rsidR="00F20AD5" w:rsidRPr="00891EFF" w:rsidRDefault="00F20AD5" w:rsidP="00F20AD5">
      <w:pPr>
        <w:rPr>
          <w:rFonts w:cstheme="minorHAnsi"/>
        </w:rPr>
      </w:pPr>
      <w:r w:rsidRPr="00891EFF">
        <w:rPr>
          <w:rFonts w:cstheme="minorHAnsi"/>
        </w:rPr>
        <w:t>Following completion of this session, learners will be able to</w:t>
      </w:r>
      <w:r w:rsidR="00367F75" w:rsidRPr="00891EFF">
        <w:rPr>
          <w:rFonts w:cstheme="minorHAnsi"/>
        </w:rPr>
        <w:t>:</w:t>
      </w:r>
    </w:p>
    <w:p w14:paraId="57F059B6" w14:textId="77777777" w:rsidR="00F20AD5" w:rsidRDefault="00305ECA" w:rsidP="00F20AD5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bookmarkStart w:id="0" w:name="_Hlk97294916"/>
      <w:r>
        <w:rPr>
          <w:rFonts w:eastAsia="Times New Roman" w:cs="Times New Roman"/>
        </w:rPr>
        <w:t>Contrast</w:t>
      </w:r>
      <w:r w:rsidR="002016E3">
        <w:rPr>
          <w:rFonts w:eastAsia="Times New Roman" w:cs="Times New Roman"/>
        </w:rPr>
        <w:t xml:space="preserve"> tokenism</w:t>
      </w:r>
      <w:r>
        <w:rPr>
          <w:rFonts w:eastAsia="Times New Roman" w:cs="Times New Roman"/>
        </w:rPr>
        <w:t xml:space="preserve"> with inclusion</w:t>
      </w:r>
    </w:p>
    <w:p w14:paraId="3AAE9241" w14:textId="79855B5A" w:rsidR="002016E3" w:rsidRDefault="00305ECA" w:rsidP="00F20AD5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Analyze barriers to achieving inclusion at</w:t>
      </w:r>
      <w:r w:rsidR="008A3BE6" w:rsidRPr="008A3BE6">
        <w:rPr>
          <w:rFonts w:eastAsia="Times New Roman" w:cs="Times New Roman"/>
        </w:rPr>
        <w:t xml:space="preserve"> </w:t>
      </w:r>
      <w:r w:rsidR="008A3BE6">
        <w:rPr>
          <w:rFonts w:eastAsia="Times New Roman" w:cs="Times New Roman"/>
        </w:rPr>
        <w:t>their university.</w:t>
      </w:r>
    </w:p>
    <w:p w14:paraId="562D9A1C" w14:textId="77777777" w:rsidR="0084052C" w:rsidRDefault="0084052C" w:rsidP="00B66E1A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Propose individual and institutional actions that will help move our </w:t>
      </w:r>
      <w:r w:rsidR="00B66E1A">
        <w:rPr>
          <w:rFonts w:eastAsia="Times New Roman" w:cs="Times New Roman"/>
        </w:rPr>
        <w:t>residency program</w:t>
      </w:r>
      <w:r w:rsidR="00174762">
        <w:rPr>
          <w:rFonts w:eastAsia="Times New Roman" w:cs="Times New Roman"/>
        </w:rPr>
        <w:t xml:space="preserve"> toward greater diversity, equity and inclusion</w:t>
      </w:r>
    </w:p>
    <w:bookmarkEnd w:id="0"/>
    <w:p w14:paraId="21DE0091" w14:textId="77777777" w:rsidR="00F20AD5" w:rsidRPr="00891EFF" w:rsidRDefault="00F20AD5" w:rsidP="00F20AD5">
      <w:pPr>
        <w:rPr>
          <w:rFonts w:cstheme="minorHAnsi"/>
          <w:i/>
          <w:u w:val="single"/>
        </w:rPr>
      </w:pPr>
      <w:r w:rsidRPr="00891EFF">
        <w:rPr>
          <w:rFonts w:cstheme="minorHAnsi"/>
          <w:i/>
          <w:u w:val="single"/>
        </w:rPr>
        <w:t>Preparatory Work:</w:t>
      </w:r>
    </w:p>
    <w:p w14:paraId="5CC87D6F" w14:textId="77777777" w:rsidR="00F20AD5" w:rsidRDefault="00F20AD5" w:rsidP="00F20AD5">
      <w:pPr>
        <w:rPr>
          <w:rFonts w:cstheme="minorHAnsi"/>
        </w:rPr>
      </w:pPr>
      <w:r w:rsidRPr="00891EFF">
        <w:rPr>
          <w:rFonts w:cstheme="minorHAnsi"/>
        </w:rPr>
        <w:t>Prior to attending the session, learners have been asked to:</w:t>
      </w:r>
    </w:p>
    <w:p w14:paraId="7B1AC3B9" w14:textId="49C90759" w:rsidR="003B0CD4" w:rsidRPr="0042339F" w:rsidRDefault="003B0CD4" w:rsidP="0042339F">
      <w:pPr>
        <w:pStyle w:val="xxparagraph"/>
        <w:numPr>
          <w:ilvl w:val="0"/>
          <w:numId w:val="40"/>
        </w:numPr>
        <w:spacing w:before="0" w:beforeAutospacing="0" w:after="0" w:afterAutospacing="0"/>
        <w:ind w:left="360"/>
        <w:textAlignment w:val="baseline"/>
        <w:rPr>
          <w:rFonts w:eastAsia="Times New Roman"/>
        </w:rPr>
      </w:pPr>
      <w:r w:rsidRPr="0042339F">
        <w:rPr>
          <w:rFonts w:cstheme="minorHAnsi"/>
        </w:rPr>
        <w:t>Not sure what tokenism is?  Choose one of the following to get an intro to this concept prior to the session:</w:t>
      </w:r>
    </w:p>
    <w:p w14:paraId="4CD38CD0" w14:textId="77777777" w:rsidR="003B0CD4" w:rsidRPr="00A52BDD" w:rsidRDefault="003B0CD4" w:rsidP="003B0CD4">
      <w:pPr>
        <w:pStyle w:val="ListParagraph"/>
        <w:numPr>
          <w:ilvl w:val="2"/>
          <w:numId w:val="40"/>
        </w:numPr>
        <w:ind w:left="1800"/>
        <w:rPr>
          <w:rFonts w:cstheme="minorHAnsi"/>
          <w:i/>
        </w:rPr>
      </w:pPr>
      <w:r w:rsidRPr="00A52BDD">
        <w:rPr>
          <w:rFonts w:cstheme="minorHAnsi"/>
        </w:rPr>
        <w:t xml:space="preserve">Watch this </w:t>
      </w:r>
      <w:proofErr w:type="gramStart"/>
      <w:r w:rsidRPr="00A52BDD">
        <w:rPr>
          <w:rFonts w:cstheme="minorHAnsi"/>
        </w:rPr>
        <w:t>5 minute</w:t>
      </w:r>
      <w:proofErr w:type="gramEnd"/>
      <w:r w:rsidRPr="00A52BDD">
        <w:rPr>
          <w:rFonts w:cstheme="minorHAnsi"/>
        </w:rPr>
        <w:t xml:space="preserve"> video from Global News (Canada):</w:t>
      </w:r>
      <w:r w:rsidRPr="00A52BDD">
        <w:rPr>
          <w:rFonts w:cstheme="minorHAnsi"/>
          <w:i/>
        </w:rPr>
        <w:t xml:space="preserve"> </w:t>
      </w:r>
      <w:hyperlink r:id="rId6" w:history="1">
        <w:r w:rsidRPr="00A52BDD">
          <w:rPr>
            <w:rStyle w:val="Hyperlink"/>
            <w:rFonts w:cstheme="minorHAnsi"/>
            <w:i/>
          </w:rPr>
          <w:t>Tokenism</w:t>
        </w:r>
      </w:hyperlink>
      <w:r w:rsidRPr="00A52BDD">
        <w:rPr>
          <w:rFonts w:cstheme="minorHAnsi"/>
          <w:i/>
        </w:rPr>
        <w:t xml:space="preserve">  </w:t>
      </w:r>
    </w:p>
    <w:p w14:paraId="24EDEB7A" w14:textId="47AF8FDC" w:rsidR="0042339F" w:rsidRPr="0042339F" w:rsidRDefault="003B0CD4" w:rsidP="0042339F">
      <w:pPr>
        <w:pStyle w:val="ListParagraph"/>
        <w:numPr>
          <w:ilvl w:val="2"/>
          <w:numId w:val="40"/>
        </w:numPr>
        <w:ind w:left="1800"/>
        <w:rPr>
          <w:rFonts w:cstheme="minorHAnsi"/>
          <w:i/>
        </w:rPr>
      </w:pPr>
      <w:r>
        <w:rPr>
          <w:rFonts w:cstheme="minorHAnsi"/>
        </w:rPr>
        <w:t>Read this brief article</w:t>
      </w:r>
      <w:r>
        <w:rPr>
          <w:rFonts w:cstheme="minorHAnsi"/>
          <w:i/>
        </w:rPr>
        <w:t xml:space="preserve">: </w:t>
      </w:r>
      <w:hyperlink r:id="rId7" w:history="1">
        <w:r>
          <w:rPr>
            <w:rStyle w:val="Hyperlink"/>
            <w:rFonts w:cstheme="minorHAnsi"/>
            <w:i/>
          </w:rPr>
          <w:t xml:space="preserve">Tokenism: The Result of Diversity </w:t>
        </w:r>
        <w:proofErr w:type="spellStart"/>
        <w:r>
          <w:rPr>
            <w:rStyle w:val="Hyperlink"/>
            <w:rFonts w:cstheme="minorHAnsi"/>
            <w:i/>
          </w:rPr>
          <w:t>WIthout</w:t>
        </w:r>
        <w:proofErr w:type="spellEnd"/>
        <w:r>
          <w:rPr>
            <w:rStyle w:val="Hyperlink"/>
            <w:rFonts w:cstheme="minorHAnsi"/>
            <w:i/>
          </w:rPr>
          <w:t xml:space="preserve"> Inclusion</w:t>
        </w:r>
      </w:hyperlink>
      <w:r>
        <w:rPr>
          <w:rFonts w:cstheme="minorHAnsi"/>
        </w:rPr>
        <w:t xml:space="preserve"> by Tonie (Snell) </w:t>
      </w:r>
      <w:proofErr w:type="spellStart"/>
      <w:r>
        <w:rPr>
          <w:rFonts w:cstheme="minorHAnsi"/>
        </w:rPr>
        <w:t>Guagardo</w:t>
      </w:r>
      <w:proofErr w:type="spellEnd"/>
      <w:r>
        <w:rPr>
          <w:rFonts w:cstheme="minorHAnsi"/>
        </w:rPr>
        <w:t xml:space="preserve"> (note: this article contains an ad at the end for </w:t>
      </w:r>
      <w:proofErr w:type="spellStart"/>
      <w:r>
        <w:rPr>
          <w:rFonts w:cstheme="minorHAnsi"/>
        </w:rPr>
        <w:t>Ms</w:t>
      </w:r>
      <w:proofErr w:type="spellEnd"/>
      <w:r>
        <w:rPr>
          <w:rFonts w:cstheme="minorHAnsi"/>
        </w:rPr>
        <w:t xml:space="preserve"> Guajardo’s company services)</w:t>
      </w:r>
    </w:p>
    <w:p w14:paraId="031AFFE8" w14:textId="7B29C8C4" w:rsidR="00320F5E" w:rsidRDefault="00320F5E" w:rsidP="00320F5E">
      <w:pPr>
        <w:rPr>
          <w:rFonts w:cstheme="minorHAnsi"/>
          <w:i/>
          <w:color w:val="767171" w:themeColor="background2" w:themeShade="80"/>
          <w:u w:val="single"/>
        </w:rPr>
      </w:pPr>
      <w:r>
        <w:rPr>
          <w:rFonts w:cstheme="minorHAnsi"/>
          <w:i/>
          <w:color w:val="767171" w:themeColor="background2" w:themeShade="80"/>
          <w:u w:val="single"/>
        </w:rPr>
        <w:t>Facilitator Preparatory Work:</w:t>
      </w:r>
    </w:p>
    <w:p w14:paraId="49EB58CA" w14:textId="239EF0CD" w:rsidR="003B0CD4" w:rsidRPr="0042339F" w:rsidRDefault="00992157">
      <w:pPr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>Send out email with preparatory work</w:t>
      </w:r>
    </w:p>
    <w:p w14:paraId="64BA0A7B" w14:textId="77777777" w:rsidR="00EE6C86" w:rsidRDefault="001D7EBA">
      <w:pPr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In Session Facilitator Guide</w:t>
      </w: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1027"/>
        <w:gridCol w:w="1334"/>
        <w:gridCol w:w="8974"/>
        <w:gridCol w:w="900"/>
        <w:gridCol w:w="1350"/>
      </w:tblGrid>
      <w:tr w:rsidR="0084052C" w14:paraId="6F75D73A" w14:textId="77777777" w:rsidTr="00810B27">
        <w:tc>
          <w:tcPr>
            <w:tcW w:w="1027" w:type="dxa"/>
          </w:tcPr>
          <w:p w14:paraId="50310D5D" w14:textId="77777777" w:rsidR="00A5654F" w:rsidRPr="001D7EBA" w:rsidRDefault="00A5654F" w:rsidP="00C44B1F">
            <w:pPr>
              <w:jc w:val="center"/>
              <w:rPr>
                <w:rFonts w:cstheme="minorHAnsi"/>
                <w:b/>
              </w:rPr>
            </w:pPr>
            <w:r w:rsidRPr="001D7EBA">
              <w:rPr>
                <w:rFonts w:cstheme="minorHAnsi"/>
                <w:b/>
              </w:rPr>
              <w:t>Duration</w:t>
            </w:r>
          </w:p>
        </w:tc>
        <w:tc>
          <w:tcPr>
            <w:tcW w:w="1334" w:type="dxa"/>
          </w:tcPr>
          <w:p w14:paraId="04DA8C38" w14:textId="77777777" w:rsidR="00A5654F" w:rsidRPr="001D7EBA" w:rsidRDefault="00A5654F" w:rsidP="00C44B1F">
            <w:pPr>
              <w:jc w:val="center"/>
              <w:rPr>
                <w:rFonts w:cstheme="minorHAnsi"/>
                <w:b/>
              </w:rPr>
            </w:pPr>
            <w:r w:rsidRPr="001D7EBA">
              <w:rPr>
                <w:rFonts w:cstheme="minorHAnsi"/>
                <w:b/>
              </w:rPr>
              <w:t>Format</w:t>
            </w:r>
          </w:p>
        </w:tc>
        <w:tc>
          <w:tcPr>
            <w:tcW w:w="8974" w:type="dxa"/>
          </w:tcPr>
          <w:p w14:paraId="4F41F53E" w14:textId="77777777" w:rsidR="00A5654F" w:rsidRPr="001D7EBA" w:rsidRDefault="00A5654F" w:rsidP="00C44B1F">
            <w:pPr>
              <w:jc w:val="center"/>
              <w:rPr>
                <w:rFonts w:cstheme="minorHAnsi"/>
                <w:b/>
              </w:rPr>
            </w:pPr>
            <w:r w:rsidRPr="001D7EBA">
              <w:rPr>
                <w:rFonts w:cstheme="minorHAnsi"/>
                <w:b/>
              </w:rPr>
              <w:t>Activity</w:t>
            </w:r>
          </w:p>
        </w:tc>
        <w:tc>
          <w:tcPr>
            <w:tcW w:w="900" w:type="dxa"/>
          </w:tcPr>
          <w:p w14:paraId="7486E2AD" w14:textId="7550FB99" w:rsidR="00A5654F" w:rsidRPr="001D7EBA" w:rsidRDefault="00485E62" w:rsidP="00A8357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Other Needs </w:t>
            </w:r>
          </w:p>
        </w:tc>
        <w:tc>
          <w:tcPr>
            <w:tcW w:w="1350" w:type="dxa"/>
          </w:tcPr>
          <w:p w14:paraId="75B3028D" w14:textId="77777777" w:rsidR="00A5654F" w:rsidRDefault="00A5654F" w:rsidP="00C44B1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Optional Materials to Offer</w:t>
            </w:r>
          </w:p>
        </w:tc>
      </w:tr>
      <w:tr w:rsidR="0084052C" w14:paraId="3DCCE7B6" w14:textId="77777777" w:rsidTr="00810B27">
        <w:tc>
          <w:tcPr>
            <w:tcW w:w="1027" w:type="dxa"/>
          </w:tcPr>
          <w:p w14:paraId="64BA08FF" w14:textId="60EA6643" w:rsidR="0084052C" w:rsidRDefault="00804C67" w:rsidP="00893DA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65C37">
              <w:rPr>
                <w:rFonts w:cstheme="minorHAnsi"/>
              </w:rPr>
              <w:t>3</w:t>
            </w:r>
            <w:r w:rsidR="00B73440">
              <w:rPr>
                <w:rFonts w:cstheme="minorHAnsi"/>
              </w:rPr>
              <w:t xml:space="preserve"> min</w:t>
            </w:r>
          </w:p>
        </w:tc>
        <w:tc>
          <w:tcPr>
            <w:tcW w:w="1334" w:type="dxa"/>
          </w:tcPr>
          <w:p w14:paraId="4FF7FB79" w14:textId="77777777" w:rsidR="0084052C" w:rsidRDefault="00B73440" w:rsidP="00893DA3">
            <w:pPr>
              <w:rPr>
                <w:rFonts w:cstheme="minorHAnsi"/>
              </w:rPr>
            </w:pPr>
            <w:r>
              <w:rPr>
                <w:rFonts w:cstheme="minorHAnsi"/>
              </w:rPr>
              <w:t>Videos</w:t>
            </w:r>
          </w:p>
        </w:tc>
        <w:tc>
          <w:tcPr>
            <w:tcW w:w="8974" w:type="dxa"/>
          </w:tcPr>
          <w:p w14:paraId="77772CD1" w14:textId="27EAF70B" w:rsidR="00B66E1A" w:rsidRDefault="00B66E1A" w:rsidP="00B73440">
            <w:pPr>
              <w:rPr>
                <w:rFonts w:cstheme="minorHAnsi"/>
              </w:rPr>
            </w:pPr>
            <w:r>
              <w:rPr>
                <w:rFonts w:cstheme="minorHAnsi"/>
              </w:rPr>
              <w:t>Overview of the day:</w:t>
            </w:r>
            <w:r w:rsidR="00B1364E">
              <w:rPr>
                <w:rFonts w:cstheme="minorHAnsi"/>
              </w:rPr>
              <w:br/>
              <w:t>Tokenism</w:t>
            </w:r>
            <w:r w:rsidR="005B38DA">
              <w:rPr>
                <w:rFonts w:cstheme="minorHAnsi"/>
              </w:rPr>
              <w:t xml:space="preserve"> </w:t>
            </w:r>
          </w:p>
          <w:p w14:paraId="31FF424A" w14:textId="77777777" w:rsidR="00B66E1A" w:rsidRDefault="00B66E1A" w:rsidP="00B73440">
            <w:pPr>
              <w:rPr>
                <w:rFonts w:cstheme="minorHAnsi"/>
              </w:rPr>
            </w:pPr>
          </w:p>
          <w:p w14:paraId="289EEE2C" w14:textId="77777777" w:rsidR="00B73440" w:rsidRDefault="00B73440" w:rsidP="00B73440">
            <w:pPr>
              <w:rPr>
                <w:rFonts w:cstheme="minorHAnsi"/>
              </w:rPr>
            </w:pPr>
            <w:r>
              <w:rPr>
                <w:rFonts w:cstheme="minorHAnsi"/>
              </w:rPr>
              <w:t>Share the following video</w:t>
            </w:r>
            <w:r w:rsidR="00692BCE">
              <w:rPr>
                <w:rFonts w:cstheme="minorHAnsi"/>
              </w:rPr>
              <w:t xml:space="preserve"> with the whole group:</w:t>
            </w:r>
          </w:p>
          <w:p w14:paraId="7423C6ED" w14:textId="77777777" w:rsidR="00B73440" w:rsidRPr="00B73440" w:rsidRDefault="00B73440" w:rsidP="00B73440">
            <w:pPr>
              <w:rPr>
                <w:rFonts w:cstheme="minorHAnsi"/>
              </w:rPr>
            </w:pPr>
          </w:p>
          <w:p w14:paraId="1B93741A" w14:textId="77777777" w:rsidR="0084052C" w:rsidRPr="00692BCE" w:rsidRDefault="0084052C" w:rsidP="00692BCE">
            <w:pPr>
              <w:rPr>
                <w:rFonts w:cstheme="minorHAnsi"/>
              </w:rPr>
            </w:pPr>
            <w:r w:rsidRPr="00692BCE">
              <w:rPr>
                <w:rFonts w:cstheme="minorHAnsi"/>
              </w:rPr>
              <w:t xml:space="preserve">On Diversity: Access </w:t>
            </w:r>
            <w:proofErr w:type="spellStart"/>
            <w:r w:rsidRPr="00692BCE">
              <w:rPr>
                <w:rFonts w:cstheme="minorHAnsi"/>
              </w:rPr>
              <w:t>Ain’t</w:t>
            </w:r>
            <w:proofErr w:type="spellEnd"/>
            <w:r w:rsidRPr="00692BCE">
              <w:rPr>
                <w:rFonts w:cstheme="minorHAnsi"/>
              </w:rPr>
              <w:t xml:space="preserve"> Inclusion—Anthony Jack (12:42) </w:t>
            </w:r>
          </w:p>
          <w:p w14:paraId="02D9C29F" w14:textId="77777777" w:rsidR="0084052C" w:rsidRPr="00692BCE" w:rsidRDefault="00000000" w:rsidP="00692BCE">
            <w:pPr>
              <w:rPr>
                <w:rFonts w:cstheme="minorHAnsi"/>
              </w:rPr>
            </w:pPr>
            <w:hyperlink r:id="rId8" w:history="1">
              <w:r w:rsidR="006C2B9B" w:rsidRPr="00BE335B">
                <w:rPr>
                  <w:rStyle w:val="Hyperlink"/>
                  <w:rFonts w:cstheme="minorHAnsi"/>
                </w:rPr>
                <w:t>https://www.youtube.com/wa</w:t>
              </w:r>
              <w:r w:rsidR="006C2B9B" w:rsidRPr="00BE335B">
                <w:rPr>
                  <w:rStyle w:val="Hyperlink"/>
                  <w:rFonts w:cstheme="minorHAnsi"/>
                </w:rPr>
                <w:t>t</w:t>
              </w:r>
              <w:r w:rsidR="006C2B9B" w:rsidRPr="00BE335B">
                <w:rPr>
                  <w:rStyle w:val="Hyperlink"/>
                  <w:rFonts w:cstheme="minorHAnsi"/>
                </w:rPr>
                <w:t>ch?v=j7w2Gv7ueOc</w:t>
              </w:r>
            </w:hyperlink>
          </w:p>
        </w:tc>
        <w:tc>
          <w:tcPr>
            <w:tcW w:w="900" w:type="dxa"/>
          </w:tcPr>
          <w:p w14:paraId="770BF193" w14:textId="76434B34" w:rsidR="0084052C" w:rsidRDefault="0084052C" w:rsidP="00893DA3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203F8DDE" w14:textId="77777777" w:rsidR="00B73440" w:rsidRDefault="00B73440" w:rsidP="00893DA3">
            <w:pPr>
              <w:rPr>
                <w:rFonts w:cstheme="minorHAnsi"/>
              </w:rPr>
            </w:pPr>
          </w:p>
          <w:p w14:paraId="4132329F" w14:textId="77777777" w:rsidR="0084052C" w:rsidRDefault="0084052C" w:rsidP="00B734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692BCE" w14:paraId="282D5898" w14:textId="77777777" w:rsidTr="00810B27">
        <w:tc>
          <w:tcPr>
            <w:tcW w:w="1027" w:type="dxa"/>
          </w:tcPr>
          <w:p w14:paraId="78E204CF" w14:textId="77777777" w:rsidR="00692BCE" w:rsidRDefault="00950BB1" w:rsidP="00692BCE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692BCE">
              <w:rPr>
                <w:rFonts w:cstheme="minorHAnsi"/>
              </w:rPr>
              <w:t xml:space="preserve"> min</w:t>
            </w:r>
          </w:p>
        </w:tc>
        <w:tc>
          <w:tcPr>
            <w:tcW w:w="1334" w:type="dxa"/>
          </w:tcPr>
          <w:p w14:paraId="11DF7549" w14:textId="77777777" w:rsidR="00692BCE" w:rsidRDefault="00804C67" w:rsidP="00692BCE">
            <w:pPr>
              <w:rPr>
                <w:rFonts w:cstheme="minorHAnsi"/>
              </w:rPr>
            </w:pPr>
            <w:r>
              <w:rPr>
                <w:rFonts w:cstheme="minorHAnsi"/>
              </w:rPr>
              <w:t>Class-specific work</w:t>
            </w:r>
          </w:p>
        </w:tc>
        <w:tc>
          <w:tcPr>
            <w:tcW w:w="8974" w:type="dxa"/>
          </w:tcPr>
          <w:p w14:paraId="44A31D34" w14:textId="77777777" w:rsidR="006C2B9B" w:rsidRDefault="006C2B9B" w:rsidP="00692BCE">
            <w:pPr>
              <w:rPr>
                <w:rFonts w:cstheme="minorHAnsi"/>
              </w:rPr>
            </w:pPr>
            <w:r>
              <w:rPr>
                <w:rFonts w:cstheme="minorHAnsi"/>
              </w:rPr>
              <w:t>Split into groups</w:t>
            </w:r>
          </w:p>
          <w:p w14:paraId="40A429C2" w14:textId="77777777" w:rsidR="006C2B9B" w:rsidRDefault="006C2B9B" w:rsidP="00692BCE">
            <w:pPr>
              <w:rPr>
                <w:rFonts w:cstheme="minorHAnsi"/>
              </w:rPr>
            </w:pPr>
          </w:p>
          <w:p w14:paraId="74E2D775" w14:textId="77777777" w:rsidR="006C2B9B" w:rsidRPr="00FF51F9" w:rsidRDefault="006C2B9B" w:rsidP="00692BCE">
            <w:pPr>
              <w:rPr>
                <w:rFonts w:cstheme="minorHAnsi"/>
                <w:b/>
              </w:rPr>
            </w:pPr>
            <w:r w:rsidRPr="00FF51F9">
              <w:rPr>
                <w:rFonts w:cstheme="minorHAnsi"/>
                <w:b/>
              </w:rPr>
              <w:t>INTERNS</w:t>
            </w:r>
            <w:r w:rsidR="00810B27" w:rsidRPr="00FF51F9">
              <w:rPr>
                <w:rFonts w:cstheme="minorHAnsi"/>
                <w:b/>
              </w:rPr>
              <w:t>:</w:t>
            </w:r>
          </w:p>
          <w:p w14:paraId="3D70977E" w14:textId="77777777" w:rsidR="006522AA" w:rsidRDefault="008D11E7" w:rsidP="006522A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INDIVIDUAL READING (14 min): </w:t>
            </w:r>
            <w:r w:rsidR="006522AA" w:rsidRPr="006522AA">
              <w:rPr>
                <w:rFonts w:cstheme="minorHAnsi"/>
              </w:rPr>
              <w:t>We are going to do a little more learning with videos and individual reading</w:t>
            </w:r>
            <w:r w:rsidR="006522AA">
              <w:rPr>
                <w:rFonts w:cstheme="minorHAnsi"/>
              </w:rPr>
              <w:t>, and then we will reflect on these together</w:t>
            </w:r>
            <w:r w:rsidR="006522AA" w:rsidRPr="006522AA">
              <w:rPr>
                <w:rFonts w:cstheme="minorHAnsi"/>
              </w:rPr>
              <w:t xml:space="preserve">.  </w:t>
            </w:r>
            <w:proofErr w:type="gramStart"/>
            <w:r w:rsidR="006522AA" w:rsidRPr="006522AA">
              <w:rPr>
                <w:rFonts w:cstheme="minorHAnsi"/>
              </w:rPr>
              <w:t>First</w:t>
            </w:r>
            <w:proofErr w:type="gramEnd"/>
            <w:r w:rsidR="006522AA" w:rsidRPr="006522AA">
              <w:rPr>
                <w:rFonts w:cstheme="minorHAnsi"/>
              </w:rPr>
              <w:t xml:space="preserve"> we will start off with </w:t>
            </w:r>
            <w:r w:rsidR="006522AA">
              <w:rPr>
                <w:rFonts w:cstheme="minorHAnsi"/>
              </w:rPr>
              <w:t xml:space="preserve">some reading.  (instructor—direct to CANVAS site and paste articles links into chat as well).  You will have about 15 minutes to read these articles.  </w:t>
            </w:r>
          </w:p>
          <w:p w14:paraId="23709D82" w14:textId="77777777" w:rsidR="006522AA" w:rsidRPr="00810B27" w:rsidRDefault="006522AA" w:rsidP="006522AA">
            <w:pPr>
              <w:pStyle w:val="ListParagraph"/>
              <w:numPr>
                <w:ilvl w:val="1"/>
                <w:numId w:val="34"/>
              </w:numPr>
              <w:rPr>
                <w:rFonts w:cstheme="minorHAnsi"/>
                <w:i/>
              </w:rPr>
            </w:pPr>
            <w:r w:rsidRPr="00810B27">
              <w:rPr>
                <w:rFonts w:cstheme="minorHAnsi"/>
              </w:rPr>
              <w:t>Article</w:t>
            </w:r>
            <w:r w:rsidRPr="00810B27">
              <w:rPr>
                <w:rFonts w:cstheme="minorHAnsi"/>
                <w:i/>
              </w:rPr>
              <w:t xml:space="preserve">:   </w:t>
            </w:r>
            <w:hyperlink r:id="rId9" w:history="1">
              <w:r w:rsidRPr="00810B27">
                <w:rPr>
                  <w:rStyle w:val="Hyperlink"/>
                  <w:rFonts w:cstheme="minorHAnsi"/>
                  <w:i/>
                </w:rPr>
                <w:t xml:space="preserve">Why </w:t>
              </w:r>
              <w:r>
                <w:rPr>
                  <w:rStyle w:val="Hyperlink"/>
                  <w:rFonts w:cstheme="minorHAnsi"/>
                  <w:i/>
                </w:rPr>
                <w:t>d</w:t>
              </w:r>
              <w:r w:rsidRPr="00810B27">
                <w:rPr>
                  <w:rStyle w:val="Hyperlink"/>
                  <w:rFonts w:cstheme="minorHAnsi"/>
                  <w:i/>
                </w:rPr>
                <w:t xml:space="preserve">iverse </w:t>
              </w:r>
              <w:r>
                <w:rPr>
                  <w:rStyle w:val="Hyperlink"/>
                  <w:rFonts w:cstheme="minorHAnsi"/>
                  <w:i/>
                </w:rPr>
                <w:t>h</w:t>
              </w:r>
              <w:r w:rsidRPr="00810B27">
                <w:rPr>
                  <w:rStyle w:val="Hyperlink"/>
                  <w:rFonts w:cstheme="minorHAnsi"/>
                  <w:i/>
                </w:rPr>
                <w:t xml:space="preserve">ires </w:t>
              </w:r>
              <w:r>
                <w:rPr>
                  <w:rStyle w:val="Hyperlink"/>
                  <w:rFonts w:cstheme="minorHAnsi"/>
                  <w:i/>
                </w:rPr>
                <w:t>c</w:t>
              </w:r>
              <w:r w:rsidRPr="00810B27">
                <w:rPr>
                  <w:rStyle w:val="Hyperlink"/>
                  <w:rFonts w:cstheme="minorHAnsi"/>
                  <w:i/>
                </w:rPr>
                <w:t xml:space="preserve">an't </w:t>
              </w:r>
              <w:r>
                <w:rPr>
                  <w:rStyle w:val="Hyperlink"/>
                  <w:rFonts w:cstheme="minorHAnsi"/>
                  <w:i/>
                </w:rPr>
                <w:t>a</w:t>
              </w:r>
              <w:r w:rsidRPr="00810B27">
                <w:rPr>
                  <w:rStyle w:val="Hyperlink"/>
                  <w:rFonts w:cstheme="minorHAnsi"/>
                  <w:i/>
                </w:rPr>
                <w:t xml:space="preserve">lways </w:t>
              </w:r>
              <w:r>
                <w:rPr>
                  <w:rStyle w:val="Hyperlink"/>
                  <w:rFonts w:cstheme="minorHAnsi"/>
                  <w:i/>
                </w:rPr>
                <w:t>e</w:t>
              </w:r>
              <w:r w:rsidRPr="00810B27">
                <w:rPr>
                  <w:rStyle w:val="Hyperlink"/>
                  <w:rFonts w:cstheme="minorHAnsi"/>
                  <w:i/>
                </w:rPr>
                <w:t xml:space="preserve">scape </w:t>
              </w:r>
              <w:r>
                <w:rPr>
                  <w:rStyle w:val="Hyperlink"/>
                  <w:rFonts w:cstheme="minorHAnsi"/>
                  <w:i/>
                </w:rPr>
                <w:t>t</w:t>
              </w:r>
              <w:r w:rsidRPr="00810B27">
                <w:rPr>
                  <w:rStyle w:val="Hyperlink"/>
                  <w:rFonts w:cstheme="minorHAnsi"/>
                  <w:i/>
                </w:rPr>
                <w:t>okenism</w:t>
              </w:r>
            </w:hyperlink>
            <w:r w:rsidRPr="00810B27">
              <w:rPr>
                <w:rFonts w:cstheme="minorHAnsi"/>
                <w:i/>
              </w:rPr>
              <w:t xml:space="preserve"> </w:t>
            </w:r>
            <w:r w:rsidRPr="00810B27">
              <w:rPr>
                <w:rFonts w:cstheme="minorHAnsi"/>
              </w:rPr>
              <w:t xml:space="preserve">by </w:t>
            </w:r>
            <w:proofErr w:type="spellStart"/>
            <w:r w:rsidRPr="00810B27">
              <w:rPr>
                <w:rFonts w:cstheme="minorHAnsi"/>
              </w:rPr>
              <w:t>Zulekha</w:t>
            </w:r>
            <w:proofErr w:type="spellEnd"/>
            <w:r w:rsidRPr="00810B27">
              <w:rPr>
                <w:rFonts w:cstheme="minorHAnsi"/>
              </w:rPr>
              <w:t xml:space="preserve"> </w:t>
            </w:r>
            <w:proofErr w:type="spellStart"/>
            <w:r w:rsidRPr="00810B27">
              <w:rPr>
                <w:rFonts w:cstheme="minorHAnsi"/>
              </w:rPr>
              <w:t>Nathoo</w:t>
            </w:r>
            <w:proofErr w:type="spellEnd"/>
            <w:r w:rsidRPr="00810B27">
              <w:rPr>
                <w:rFonts w:cstheme="minorHAnsi"/>
              </w:rPr>
              <w:t xml:space="preserve"> (note: the author at times uses the term “diverse” in lieu of more explicit and descriptive language referencing race, such as Black or BIPOC)</w:t>
            </w:r>
          </w:p>
          <w:p w14:paraId="32574ACF" w14:textId="77777777" w:rsidR="006522AA" w:rsidRPr="00810B27" w:rsidRDefault="006522AA" w:rsidP="006522AA">
            <w:pPr>
              <w:pStyle w:val="ListParagraph"/>
              <w:numPr>
                <w:ilvl w:val="1"/>
                <w:numId w:val="34"/>
              </w:num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Perspective / blog post: </w:t>
            </w:r>
            <w:hyperlink r:id="rId10" w:history="1">
              <w:r w:rsidRPr="00810B27">
                <w:rPr>
                  <w:rStyle w:val="Hyperlink"/>
                  <w:rFonts w:cstheme="minorHAnsi"/>
                  <w:i/>
                </w:rPr>
                <w:t>I am a black woman and my mentor is a privileged w</w:t>
              </w:r>
              <w:r w:rsidRPr="00810B27">
                <w:rPr>
                  <w:rStyle w:val="Hyperlink"/>
                  <w:rFonts w:cstheme="minorHAnsi"/>
                  <w:i/>
                </w:rPr>
                <w:t>h</w:t>
              </w:r>
              <w:r w:rsidRPr="00810B27">
                <w:rPr>
                  <w:rStyle w:val="Hyperlink"/>
                  <w:rFonts w:cstheme="minorHAnsi"/>
                  <w:i/>
                </w:rPr>
                <w:t>ite man</w:t>
              </w:r>
            </w:hyperlink>
            <w:r>
              <w:rPr>
                <w:rFonts w:cstheme="minorHAnsi"/>
              </w:rPr>
              <w:t xml:space="preserve"> by Rebecca Stevens A</w:t>
            </w:r>
          </w:p>
          <w:p w14:paraId="59DDC515" w14:textId="77777777" w:rsidR="006522AA" w:rsidRPr="00810B27" w:rsidRDefault="006522AA" w:rsidP="006522AA">
            <w:pPr>
              <w:pStyle w:val="ListParagraph"/>
              <w:numPr>
                <w:ilvl w:val="1"/>
                <w:numId w:val="34"/>
              </w:numPr>
              <w:rPr>
                <w:rStyle w:val="Hyperlink"/>
                <w:rFonts w:cstheme="minorHAnsi"/>
                <w:i/>
                <w:color w:val="auto"/>
                <w:u w:val="none"/>
              </w:rPr>
            </w:pPr>
            <w:r>
              <w:t xml:space="preserve">Article: </w:t>
            </w:r>
            <w:hyperlink r:id="rId11" w:history="1">
              <w:r w:rsidRPr="00810B27">
                <w:rPr>
                  <w:rStyle w:val="Hyperlink"/>
                  <w:rFonts w:cstheme="minorHAnsi"/>
                  <w:i/>
                </w:rPr>
                <w:t>Research shows us workplaces need this level of diversity to prevent tokenism</w:t>
              </w:r>
            </w:hyperlink>
          </w:p>
          <w:p w14:paraId="2BDEA753" w14:textId="23C25BC7" w:rsidR="006522AA" w:rsidRDefault="006522AA" w:rsidP="006522AA">
            <w:pPr>
              <w:pStyle w:val="ListParagraph"/>
              <w:ind w:left="1080"/>
              <w:rPr>
                <w:rFonts w:cstheme="minorHAnsi"/>
              </w:rPr>
            </w:pPr>
            <w:r>
              <w:t xml:space="preserve">The primary source study cited in the lay article above is here (optional): Watkins MB, Simmons A, </w:t>
            </w:r>
            <w:proofErr w:type="spellStart"/>
            <w:r>
              <w:t>Eliabeth</w:t>
            </w:r>
            <w:proofErr w:type="spellEnd"/>
            <w:r>
              <w:t xml:space="preserve"> U. It’s not black and white: Toward a contingency perspective on the consequences of being a token. </w:t>
            </w:r>
            <w:r w:rsidRPr="006522AA">
              <w:rPr>
                <w:i/>
              </w:rPr>
              <w:t xml:space="preserve">Academy of Management Perspectives. </w:t>
            </w:r>
            <w:r>
              <w:t>2019. 33(3): 334-365.</w:t>
            </w:r>
            <w:r w:rsidRPr="006522AA">
              <w:rPr>
                <w:rFonts w:cstheme="minorHAnsi"/>
              </w:rPr>
              <w:t xml:space="preserve"> </w:t>
            </w:r>
          </w:p>
          <w:p w14:paraId="7247A28E" w14:textId="77777777" w:rsidR="005275EF" w:rsidRPr="006522AA" w:rsidRDefault="005275EF" w:rsidP="006522AA">
            <w:pPr>
              <w:pStyle w:val="ListParagraph"/>
              <w:ind w:left="1080"/>
            </w:pPr>
          </w:p>
          <w:p w14:paraId="17C5D5D3" w14:textId="41340371" w:rsidR="00810B27" w:rsidRDefault="008D11E7" w:rsidP="008D11E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GROUP VIDEO (11min):</w:t>
            </w:r>
            <w:r w:rsidR="006522AA">
              <w:rPr>
                <w:rFonts w:cstheme="minorHAnsi"/>
              </w:rPr>
              <w:t xml:space="preserve">  Now we are going to watch one more video before we do some reflection.  </w:t>
            </w:r>
            <w:hyperlink r:id="rId12" w:history="1">
              <w:r w:rsidR="006C2B9B" w:rsidRPr="006522AA">
                <w:rPr>
                  <w:rStyle w:val="Hyperlink"/>
                  <w:rFonts w:cstheme="minorHAnsi"/>
                  <w:i/>
                </w:rPr>
                <w:t>How to Get Serious about Diversity and Inclusion in the Workplace</w:t>
              </w:r>
            </w:hyperlink>
            <w:r w:rsidR="006C2B9B" w:rsidRPr="006522AA">
              <w:rPr>
                <w:rFonts w:cstheme="minorHAnsi"/>
                <w:i/>
              </w:rPr>
              <w:t xml:space="preserve"> </w:t>
            </w:r>
            <w:r w:rsidR="006C2B9B" w:rsidRPr="006522AA">
              <w:rPr>
                <w:rFonts w:cstheme="minorHAnsi"/>
              </w:rPr>
              <w:t>TED Talk by Janet Stovall</w:t>
            </w:r>
          </w:p>
          <w:p w14:paraId="0374E896" w14:textId="77777777" w:rsidR="005275EF" w:rsidRPr="008D11E7" w:rsidRDefault="005275EF" w:rsidP="005275EF">
            <w:pPr>
              <w:pStyle w:val="ListParagraph"/>
              <w:ind w:left="360"/>
              <w:rPr>
                <w:rFonts w:cstheme="minorHAnsi"/>
              </w:rPr>
            </w:pPr>
          </w:p>
          <w:p w14:paraId="1BA8BBBF" w14:textId="77777777" w:rsidR="00FF51F9" w:rsidRDefault="00FF51F9" w:rsidP="00B66E1A">
            <w:pPr>
              <w:pStyle w:val="ListParagraph"/>
              <w:numPr>
                <w:ilvl w:val="0"/>
                <w:numId w:val="34"/>
              </w:numPr>
            </w:pPr>
            <w:r>
              <w:t xml:space="preserve">INDIVIDUAL </w:t>
            </w:r>
            <w:r w:rsidR="00810B27">
              <w:t>REFLECT</w:t>
            </w:r>
            <w:r>
              <w:t>ION</w:t>
            </w:r>
            <w:r w:rsidR="00810B27">
              <w:t xml:space="preserve"> (</w:t>
            </w:r>
            <w:r>
              <w:t>5</w:t>
            </w:r>
            <w:r w:rsidR="00810B27">
              <w:t xml:space="preserve"> min)</w:t>
            </w:r>
            <w:r>
              <w:t>. Write a reflection to the following prompt.</w:t>
            </w:r>
            <w:r w:rsidR="00810B27">
              <w:t xml:space="preserve"> </w:t>
            </w:r>
          </w:p>
          <w:p w14:paraId="33375BCA" w14:textId="77777777" w:rsidR="00FF51F9" w:rsidRDefault="00810B27" w:rsidP="00B66E1A">
            <w:pPr>
              <w:pStyle w:val="ListParagraph"/>
              <w:numPr>
                <w:ilvl w:val="1"/>
                <w:numId w:val="34"/>
              </w:numPr>
            </w:pPr>
            <w:r>
              <w:t xml:space="preserve">How have you observed or </w:t>
            </w:r>
            <w:r w:rsidR="00FF51F9">
              <w:t xml:space="preserve">experienced tokenism in our residency program?  </w:t>
            </w:r>
          </w:p>
          <w:p w14:paraId="6DC92035" w14:textId="77777777" w:rsidR="00810B27" w:rsidRDefault="00FF51F9" w:rsidP="00B66E1A">
            <w:pPr>
              <w:pStyle w:val="ListParagraph"/>
              <w:numPr>
                <w:ilvl w:val="1"/>
                <w:numId w:val="34"/>
              </w:numPr>
            </w:pPr>
            <w:r>
              <w:t>Tokenism is one way that institutionalized racism creates waste of human resources. How has this impacted your own professional growth and development as a physician (whether you have experienced tokenism personally, or as a member of an institution where tokenism exists)?</w:t>
            </w:r>
          </w:p>
          <w:p w14:paraId="57E58A90" w14:textId="77777777" w:rsidR="00B66E1A" w:rsidRDefault="00B66E1A" w:rsidP="00B66E1A">
            <w:pPr>
              <w:pStyle w:val="ListParagraph"/>
              <w:numPr>
                <w:ilvl w:val="0"/>
                <w:numId w:val="34"/>
              </w:numPr>
            </w:pPr>
            <w:r>
              <w:t>PAIR SHARE (5 min). Break out into groups of 2-3 to share individual reflections with a partner.</w:t>
            </w:r>
          </w:p>
          <w:p w14:paraId="54223615" w14:textId="12C2E204" w:rsidR="00804C67" w:rsidRPr="00B66E1A" w:rsidRDefault="00804C67" w:rsidP="00D91E88"/>
        </w:tc>
        <w:tc>
          <w:tcPr>
            <w:tcW w:w="900" w:type="dxa"/>
          </w:tcPr>
          <w:p w14:paraId="3F819587" w14:textId="098D8971" w:rsidR="00485E62" w:rsidRDefault="001E2D38" w:rsidP="00692BC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If online </w:t>
            </w:r>
            <w:r w:rsidR="00485E62">
              <w:rPr>
                <w:rFonts w:cstheme="minorHAnsi"/>
              </w:rPr>
              <w:t xml:space="preserve">Pull </w:t>
            </w:r>
            <w:r w:rsidR="00485E62">
              <w:rPr>
                <w:rFonts w:cstheme="minorHAnsi"/>
              </w:rPr>
              <w:lastRenderedPageBreak/>
              <w:t xml:space="preserve">interns into second zoom room.  </w:t>
            </w:r>
          </w:p>
          <w:p w14:paraId="695223F9" w14:textId="77777777" w:rsidR="00485E62" w:rsidRDefault="00485E62" w:rsidP="00692BCE">
            <w:pPr>
              <w:rPr>
                <w:rFonts w:cstheme="minorHAnsi"/>
              </w:rPr>
            </w:pPr>
          </w:p>
          <w:p w14:paraId="6309D973" w14:textId="77777777" w:rsidR="00485E62" w:rsidRDefault="00485E62" w:rsidP="00692BCE">
            <w:pPr>
              <w:rPr>
                <w:rFonts w:cstheme="minorHAnsi"/>
              </w:rPr>
            </w:pPr>
          </w:p>
          <w:p w14:paraId="0BE7F88E" w14:textId="4EEF9B9E" w:rsidR="00221454" w:rsidRDefault="00221454" w:rsidP="00692BCE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5D372904" w14:textId="77777777" w:rsidR="00692BCE" w:rsidRDefault="00692BCE" w:rsidP="00692BCE">
            <w:pPr>
              <w:rPr>
                <w:rFonts w:cstheme="minorHAnsi"/>
              </w:rPr>
            </w:pPr>
          </w:p>
        </w:tc>
      </w:tr>
      <w:tr w:rsidR="00692BCE" w14:paraId="007CCEED" w14:textId="77777777" w:rsidTr="00810B27">
        <w:tc>
          <w:tcPr>
            <w:tcW w:w="1027" w:type="dxa"/>
          </w:tcPr>
          <w:p w14:paraId="6EAC8666" w14:textId="45753E51" w:rsidR="00692BCE" w:rsidRDefault="00D91E88" w:rsidP="00692BCE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692BCE">
              <w:rPr>
                <w:rFonts w:cstheme="minorHAnsi"/>
              </w:rPr>
              <w:t xml:space="preserve"> min</w:t>
            </w:r>
          </w:p>
        </w:tc>
        <w:tc>
          <w:tcPr>
            <w:tcW w:w="1334" w:type="dxa"/>
          </w:tcPr>
          <w:p w14:paraId="6BACE652" w14:textId="77777777" w:rsidR="00692BCE" w:rsidRDefault="00804C67" w:rsidP="00692BCE">
            <w:pPr>
              <w:rPr>
                <w:rFonts w:cstheme="minorHAnsi"/>
              </w:rPr>
            </w:pPr>
            <w:r>
              <w:rPr>
                <w:rFonts w:cstheme="minorHAnsi"/>
              </w:rPr>
              <w:t>Large g</w:t>
            </w:r>
            <w:r w:rsidR="00692BCE">
              <w:rPr>
                <w:rFonts w:cstheme="minorHAnsi"/>
              </w:rPr>
              <w:t>roup discussion</w:t>
            </w:r>
          </w:p>
        </w:tc>
        <w:tc>
          <w:tcPr>
            <w:tcW w:w="8974" w:type="dxa"/>
          </w:tcPr>
          <w:p w14:paraId="132EF53B" w14:textId="30962788" w:rsidR="00D91E88" w:rsidRDefault="00D91E88" w:rsidP="00D91E88">
            <w:pPr>
              <w:pStyle w:val="ListParagraph"/>
              <w:numPr>
                <w:ilvl w:val="0"/>
                <w:numId w:val="35"/>
              </w:numPr>
            </w:pPr>
            <w:r>
              <w:t>GROUP DISCUSSION (</w:t>
            </w:r>
            <w:r>
              <w:t xml:space="preserve">15 </w:t>
            </w:r>
            <w:r>
              <w:t>min)</w:t>
            </w:r>
          </w:p>
          <w:p w14:paraId="0B828937" w14:textId="77777777" w:rsidR="00D91E88" w:rsidRDefault="00D91E88" w:rsidP="00D91E88">
            <w:pPr>
              <w:pStyle w:val="ListParagraph"/>
              <w:numPr>
                <w:ilvl w:val="1"/>
                <w:numId w:val="35"/>
              </w:numPr>
            </w:pPr>
            <w:r>
              <w:t>Invite participants to share comments from their individual reflections</w:t>
            </w:r>
          </w:p>
          <w:p w14:paraId="29D6BFF9" w14:textId="77777777" w:rsidR="00D91E88" w:rsidRPr="00B66E1A" w:rsidRDefault="00D91E88" w:rsidP="00D91E88">
            <w:pPr>
              <w:pStyle w:val="ListParagraph"/>
              <w:numPr>
                <w:ilvl w:val="1"/>
                <w:numId w:val="35"/>
              </w:numPr>
            </w:pPr>
            <w:r w:rsidRPr="00B66E1A">
              <w:rPr>
                <w:rFonts w:cstheme="minorHAnsi"/>
              </w:rPr>
              <w:t xml:space="preserve">Based on the residents’ reflections, identify a challenge within our program vis a vis access without true inclusion (or choose one from the list below).  Discuss potential </w:t>
            </w:r>
            <w:commentRangeStart w:id="1"/>
            <w:r w:rsidRPr="00B66E1A">
              <w:rPr>
                <w:rFonts w:cstheme="minorHAnsi"/>
              </w:rPr>
              <w:t xml:space="preserve">actionable solutions </w:t>
            </w:r>
            <w:commentRangeEnd w:id="1"/>
            <w:r>
              <w:rPr>
                <w:rStyle w:val="CommentReference"/>
              </w:rPr>
              <w:commentReference w:id="1"/>
            </w:r>
            <w:r w:rsidRPr="00B66E1A">
              <w:rPr>
                <w:rFonts w:cstheme="minorHAnsi"/>
              </w:rPr>
              <w:t>to improve inclusion (not just access).</w:t>
            </w:r>
          </w:p>
          <w:p w14:paraId="2E8F87C1" w14:textId="77777777" w:rsidR="00D91E88" w:rsidRPr="00B66E1A" w:rsidRDefault="00D91E88" w:rsidP="00D91E88">
            <w:pPr>
              <w:pStyle w:val="ListParagraph"/>
              <w:numPr>
                <w:ilvl w:val="2"/>
                <w:numId w:val="35"/>
              </w:numPr>
            </w:pPr>
            <w:r>
              <w:rPr>
                <w:rFonts w:cstheme="minorHAnsi"/>
              </w:rPr>
              <w:t>Acknowledging and addressing m</w:t>
            </w:r>
            <w:r w:rsidRPr="00B66E1A">
              <w:rPr>
                <w:rFonts w:cstheme="minorHAnsi"/>
              </w:rPr>
              <w:t xml:space="preserve">ental </w:t>
            </w:r>
            <w:r>
              <w:rPr>
                <w:rFonts w:cstheme="minorHAnsi"/>
              </w:rPr>
              <w:t>health concerns among residents</w:t>
            </w:r>
          </w:p>
          <w:p w14:paraId="5357B7DA" w14:textId="77777777" w:rsidR="00D91E88" w:rsidRPr="00B66E1A" w:rsidRDefault="00D91E88" w:rsidP="00D91E88">
            <w:pPr>
              <w:pStyle w:val="ListParagraph"/>
              <w:numPr>
                <w:ilvl w:val="2"/>
                <w:numId w:val="35"/>
              </w:numPr>
            </w:pPr>
            <w:r w:rsidRPr="00B66E1A">
              <w:rPr>
                <w:rFonts w:cstheme="minorHAnsi"/>
              </w:rPr>
              <w:t xml:space="preserve">Identifying </w:t>
            </w:r>
            <w:r>
              <w:rPr>
                <w:rFonts w:cstheme="minorHAnsi"/>
              </w:rPr>
              <w:t>m</w:t>
            </w:r>
            <w:r w:rsidRPr="00B66E1A">
              <w:rPr>
                <w:rFonts w:cstheme="minorHAnsi"/>
              </w:rPr>
              <w:t>entors</w:t>
            </w:r>
          </w:p>
          <w:p w14:paraId="6734FDA2" w14:textId="77777777" w:rsidR="00D91E88" w:rsidRPr="00B66E1A" w:rsidRDefault="00D91E88" w:rsidP="00D91E88">
            <w:pPr>
              <w:pStyle w:val="ListParagraph"/>
              <w:numPr>
                <w:ilvl w:val="2"/>
                <w:numId w:val="35"/>
              </w:numPr>
            </w:pPr>
            <w:r>
              <w:rPr>
                <w:rFonts w:cstheme="minorHAnsi"/>
              </w:rPr>
              <w:lastRenderedPageBreak/>
              <w:t>The concept of p</w:t>
            </w:r>
            <w:r w:rsidRPr="00B66E1A">
              <w:rPr>
                <w:rFonts w:cstheme="minorHAnsi"/>
              </w:rPr>
              <w:t>rofessionalism</w:t>
            </w:r>
          </w:p>
          <w:p w14:paraId="1C4160E5" w14:textId="24D15BD5" w:rsidR="00D91E88" w:rsidRPr="00D91E88" w:rsidRDefault="00D91E88" w:rsidP="00692BCE">
            <w:pPr>
              <w:pStyle w:val="ListParagraph"/>
              <w:numPr>
                <w:ilvl w:val="2"/>
                <w:numId w:val="35"/>
              </w:numPr>
            </w:pPr>
            <w:r w:rsidRPr="00B66E1A">
              <w:rPr>
                <w:rFonts w:cstheme="minorHAnsi"/>
              </w:rPr>
              <w:t>Recruitment</w:t>
            </w:r>
          </w:p>
          <w:p w14:paraId="7A0A1BD2" w14:textId="77777777" w:rsidR="00804C67" w:rsidRDefault="00804C67" w:rsidP="00692BCE">
            <w:pPr>
              <w:rPr>
                <w:rFonts w:cstheme="minorHAnsi"/>
              </w:rPr>
            </w:pPr>
            <w:r>
              <w:rPr>
                <w:rFonts w:cstheme="minorHAnsi"/>
              </w:rPr>
              <w:t>If time, discuss:</w:t>
            </w:r>
          </w:p>
          <w:p w14:paraId="70DA5247" w14:textId="77777777" w:rsidR="00B1364E" w:rsidRPr="00B1364E" w:rsidRDefault="00692BCE" w:rsidP="00B1364E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B1364E">
              <w:rPr>
                <w:rFonts w:cstheme="minorHAnsi"/>
              </w:rPr>
              <w:t xml:space="preserve">How do we distinguish between performative and substantive changes? </w:t>
            </w:r>
          </w:p>
          <w:p w14:paraId="02936BE7" w14:textId="77777777" w:rsidR="00692BCE" w:rsidRPr="00B1364E" w:rsidRDefault="00804C67" w:rsidP="00B1364E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B1364E">
              <w:rPr>
                <w:rFonts w:cstheme="minorHAnsi"/>
              </w:rPr>
              <w:t>What metrics would you consider tracking—here in our residency program, and/or in your future work, to ensure you are promoting inclusion and not tokenism</w:t>
            </w:r>
            <w:r w:rsidR="00692BCE" w:rsidRPr="00B1364E">
              <w:rPr>
                <w:rFonts w:cstheme="minorHAnsi"/>
              </w:rPr>
              <w:t>?</w:t>
            </w:r>
          </w:p>
        </w:tc>
        <w:tc>
          <w:tcPr>
            <w:tcW w:w="900" w:type="dxa"/>
          </w:tcPr>
          <w:p w14:paraId="6C9F2501" w14:textId="59917C2F" w:rsidR="00692BCE" w:rsidRDefault="00692BCE" w:rsidP="00692BCE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305B7806" w14:textId="77777777" w:rsidR="00692BCE" w:rsidRDefault="00692BCE" w:rsidP="00692BC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Why do so many organizations and institutions look like </w:t>
            </w:r>
            <w:proofErr w:type="gramStart"/>
            <w:r>
              <w:rPr>
                <w:rFonts w:cstheme="minorHAnsi"/>
              </w:rPr>
              <w:t>this?: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p w14:paraId="401854DF" w14:textId="77777777" w:rsidR="00692BCE" w:rsidRDefault="00692BCE" w:rsidP="00692BC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University of Wisconsin- </w:t>
            </w:r>
            <w:hyperlink r:id="rId17" w:history="1">
              <w:r w:rsidRPr="006B56E6">
                <w:rPr>
                  <w:rStyle w:val="Hyperlink"/>
                  <w:rFonts w:cstheme="minorHAnsi"/>
                </w:rPr>
                <w:t>https://www.wisc.edu/about/leadership/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</w:tbl>
    <w:p w14:paraId="76273239" w14:textId="77777777" w:rsidR="00480930" w:rsidRDefault="00480930" w:rsidP="00BA421D"/>
    <w:p w14:paraId="28BA0417" w14:textId="3B718A12" w:rsidR="00320F5E" w:rsidRPr="00320F5E" w:rsidRDefault="00320F5E" w:rsidP="00320F5E">
      <w:pPr>
        <w:rPr>
          <w:rFonts w:cstheme="minorHAnsi"/>
          <w:color w:val="767171" w:themeColor="background2" w:themeShade="80"/>
        </w:rPr>
      </w:pPr>
      <w:r>
        <w:rPr>
          <w:rFonts w:cstheme="minorHAnsi"/>
          <w:i/>
          <w:color w:val="767171" w:themeColor="background2" w:themeShade="80"/>
          <w:u w:val="single"/>
        </w:rPr>
        <w:t>Op</w:t>
      </w:r>
      <w:r w:rsidRPr="00320F5E">
        <w:rPr>
          <w:rFonts w:cstheme="minorHAnsi"/>
          <w:i/>
          <w:color w:val="767171" w:themeColor="background2" w:themeShade="80"/>
          <w:u w:val="single"/>
        </w:rPr>
        <w:t>tional</w:t>
      </w:r>
      <w:r>
        <w:rPr>
          <w:rFonts w:cstheme="minorHAnsi"/>
          <w:i/>
          <w:color w:val="767171" w:themeColor="background2" w:themeShade="80"/>
          <w:u w:val="single"/>
        </w:rPr>
        <w:t xml:space="preserve"> Supplementary</w:t>
      </w:r>
      <w:r w:rsidRPr="00320F5E">
        <w:rPr>
          <w:rFonts w:cstheme="minorHAnsi"/>
          <w:i/>
          <w:color w:val="767171" w:themeColor="background2" w:themeShade="80"/>
          <w:u w:val="single"/>
        </w:rPr>
        <w:t xml:space="preserve"> Reading:</w:t>
      </w:r>
    </w:p>
    <w:p w14:paraId="033BA620" w14:textId="77777777" w:rsidR="00320F5E" w:rsidRPr="00320F5E" w:rsidRDefault="00320F5E" w:rsidP="00320F5E">
      <w:pPr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>Learners who wish to read more scholarly work about the impact of being a token in the workplace can be directed to this review article:</w:t>
      </w:r>
      <w:r>
        <w:rPr>
          <w:rFonts w:cstheme="minorHAnsi"/>
          <w:color w:val="767171" w:themeColor="background2" w:themeShade="80"/>
        </w:rPr>
        <w:br/>
        <w:t xml:space="preserve">Baskerville Watkins M, Simmons A, </w:t>
      </w:r>
      <w:proofErr w:type="spellStart"/>
      <w:r>
        <w:rPr>
          <w:rFonts w:cstheme="minorHAnsi"/>
          <w:color w:val="767171" w:themeColor="background2" w:themeShade="80"/>
        </w:rPr>
        <w:t>Umphress</w:t>
      </w:r>
      <w:proofErr w:type="spellEnd"/>
      <w:r>
        <w:rPr>
          <w:rFonts w:cstheme="minorHAnsi"/>
          <w:color w:val="767171" w:themeColor="background2" w:themeShade="80"/>
        </w:rPr>
        <w:t xml:space="preserve"> E.  It’s not black and white: Toward a contingency perspective on the consequences on being a token.  </w:t>
      </w:r>
      <w:r>
        <w:rPr>
          <w:rFonts w:cstheme="minorHAnsi"/>
          <w:i/>
          <w:color w:val="767171" w:themeColor="background2" w:themeShade="80"/>
        </w:rPr>
        <w:t>Academy of Management Perspectives</w:t>
      </w:r>
      <w:r>
        <w:rPr>
          <w:rFonts w:cstheme="minorHAnsi"/>
          <w:color w:val="767171" w:themeColor="background2" w:themeShade="80"/>
        </w:rPr>
        <w:t>. 2019. 33(3):334-265.</w:t>
      </w:r>
    </w:p>
    <w:p w14:paraId="273A9FE0" w14:textId="77777777" w:rsidR="00B14FEA" w:rsidRPr="00F20AD5" w:rsidRDefault="00B14FEA">
      <w:pPr>
        <w:rPr>
          <w:rFonts w:cstheme="minorHAnsi"/>
        </w:rPr>
      </w:pPr>
    </w:p>
    <w:sectPr w:rsidR="00B14FEA" w:rsidRPr="00F20AD5" w:rsidSect="00B14FEA">
      <w:pgSz w:w="15840" w:h="12240" w:orient="landscape"/>
      <w:pgMar w:top="1296" w:right="1296" w:bottom="1296" w:left="1296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BREANNA MARIE PORTALE" w:date="2022-06-06T12:54:00Z" w:initials="BMP">
    <w:p w14:paraId="4C1E3D5D" w14:textId="77777777" w:rsidR="00D91E88" w:rsidRDefault="00D91E88" w:rsidP="00D91E88">
      <w:r>
        <w:rPr>
          <w:rStyle w:val="CommentReference"/>
        </w:rPr>
        <w:annotationRef/>
      </w:r>
      <w:r>
        <w:rPr>
          <w:sz w:val="20"/>
          <w:szCs w:val="20"/>
        </w:rPr>
        <w:t>Could add a video in this session giving examples of solutions that have worked in the past.</w:t>
      </w:r>
    </w:p>
    <w:p w14:paraId="3F24E91C" w14:textId="77777777" w:rsidR="00D91E88" w:rsidRDefault="00D91E88" w:rsidP="00D91E88"/>
    <w:p w14:paraId="060FA63A" w14:textId="77777777" w:rsidR="00D91E88" w:rsidRDefault="00D91E88" w:rsidP="00D91E88">
      <w:r>
        <w:rPr>
          <w:sz w:val="20"/>
          <w:szCs w:val="20"/>
        </w:rPr>
        <w:t>This video was great at explaining how to frame thinking in order to refrain from tokenism. Could this be added?</w:t>
      </w:r>
    </w:p>
    <w:p w14:paraId="2168A463" w14:textId="77777777" w:rsidR="00D91E88" w:rsidRDefault="00D91E88" w:rsidP="00D91E88"/>
    <w:p w14:paraId="46772EF9" w14:textId="77777777" w:rsidR="00D91E88" w:rsidRDefault="00D91E88" w:rsidP="00D91E88">
      <w:r>
        <w:rPr>
          <w:sz w:val="20"/>
          <w:szCs w:val="20"/>
        </w:rPr>
        <w:t>https://www.youtube.com/watch?v=mLL7F8-ijM0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772EF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EED36" w16cex:dateUtc="2022-06-06T1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772EF9" w16cid:durableId="266EED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ECE"/>
    <w:multiLevelType w:val="hybridMultilevel"/>
    <w:tmpl w:val="6346C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907C9"/>
    <w:multiLevelType w:val="multilevel"/>
    <w:tmpl w:val="3202CB8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70B58"/>
    <w:multiLevelType w:val="hybridMultilevel"/>
    <w:tmpl w:val="AA4A7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F11F0"/>
    <w:multiLevelType w:val="hybridMultilevel"/>
    <w:tmpl w:val="57B29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5815"/>
    <w:multiLevelType w:val="hybridMultilevel"/>
    <w:tmpl w:val="15FE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A1932"/>
    <w:multiLevelType w:val="hybridMultilevel"/>
    <w:tmpl w:val="70F6068C"/>
    <w:lvl w:ilvl="0" w:tplc="8D4E79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51F203EE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1DA815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2CE6"/>
    <w:multiLevelType w:val="multilevel"/>
    <w:tmpl w:val="3202CB8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0327D3"/>
    <w:multiLevelType w:val="hybridMultilevel"/>
    <w:tmpl w:val="0C80C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D201B"/>
    <w:multiLevelType w:val="hybridMultilevel"/>
    <w:tmpl w:val="F64A15F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7102FB"/>
    <w:multiLevelType w:val="multilevel"/>
    <w:tmpl w:val="3202CB8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2AE286C"/>
    <w:multiLevelType w:val="multilevel"/>
    <w:tmpl w:val="3202CB8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8651D1"/>
    <w:multiLevelType w:val="multilevel"/>
    <w:tmpl w:val="3202CB8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13713F"/>
    <w:multiLevelType w:val="hybridMultilevel"/>
    <w:tmpl w:val="82AA1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F05EE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07783"/>
    <w:multiLevelType w:val="hybridMultilevel"/>
    <w:tmpl w:val="A87081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57075"/>
    <w:multiLevelType w:val="hybridMultilevel"/>
    <w:tmpl w:val="B2AE6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40AE4"/>
    <w:multiLevelType w:val="multilevel"/>
    <w:tmpl w:val="3202CB8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1E366C"/>
    <w:multiLevelType w:val="hybridMultilevel"/>
    <w:tmpl w:val="B94E6D36"/>
    <w:lvl w:ilvl="0" w:tplc="4E36F3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2B36BC"/>
    <w:multiLevelType w:val="hybridMultilevel"/>
    <w:tmpl w:val="05341F18"/>
    <w:lvl w:ilvl="0" w:tplc="60680B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A6247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D828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67457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6CD7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34F8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482D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6478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0D855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BC82249"/>
    <w:multiLevelType w:val="multilevel"/>
    <w:tmpl w:val="3202CB8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9513FA"/>
    <w:multiLevelType w:val="hybridMultilevel"/>
    <w:tmpl w:val="7F6008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EC243E"/>
    <w:multiLevelType w:val="multilevel"/>
    <w:tmpl w:val="3202CB8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DC543C5"/>
    <w:multiLevelType w:val="hybridMultilevel"/>
    <w:tmpl w:val="EAB6E5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145EF3"/>
    <w:multiLevelType w:val="hybridMultilevel"/>
    <w:tmpl w:val="4F2EF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87942"/>
    <w:multiLevelType w:val="hybridMultilevel"/>
    <w:tmpl w:val="57B29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54018"/>
    <w:multiLevelType w:val="hybridMultilevel"/>
    <w:tmpl w:val="A850A5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7F0986"/>
    <w:multiLevelType w:val="hybridMultilevel"/>
    <w:tmpl w:val="066A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26C3D"/>
    <w:multiLevelType w:val="hybridMultilevel"/>
    <w:tmpl w:val="5F5249DE"/>
    <w:lvl w:ilvl="0" w:tplc="35A8B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451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84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80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A2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2B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09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42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00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D7647B5"/>
    <w:multiLevelType w:val="hybridMultilevel"/>
    <w:tmpl w:val="27C40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A0C41"/>
    <w:multiLevelType w:val="multilevel"/>
    <w:tmpl w:val="22AA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5E4B65"/>
    <w:multiLevelType w:val="multilevel"/>
    <w:tmpl w:val="22AA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877B6D"/>
    <w:multiLevelType w:val="multilevel"/>
    <w:tmpl w:val="3202CB8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5077B5A"/>
    <w:multiLevelType w:val="multilevel"/>
    <w:tmpl w:val="22AA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C73369"/>
    <w:multiLevelType w:val="multilevel"/>
    <w:tmpl w:val="3202CB8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B93434C"/>
    <w:multiLevelType w:val="hybridMultilevel"/>
    <w:tmpl w:val="E49E3286"/>
    <w:lvl w:ilvl="0" w:tplc="6EE49C26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B50C005E">
      <w:start w:val="1"/>
      <w:numFmt w:val="lowerRoman"/>
      <w:lvlText w:val="%2."/>
      <w:lvlJc w:val="righ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4B1F0E"/>
    <w:multiLevelType w:val="hybridMultilevel"/>
    <w:tmpl w:val="4D20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65818"/>
    <w:multiLevelType w:val="hybridMultilevel"/>
    <w:tmpl w:val="8F64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72276"/>
    <w:multiLevelType w:val="multilevel"/>
    <w:tmpl w:val="3202CB8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852374F"/>
    <w:multiLevelType w:val="hybridMultilevel"/>
    <w:tmpl w:val="96827FB0"/>
    <w:lvl w:ilvl="0" w:tplc="15BE5B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D33A6"/>
    <w:multiLevelType w:val="hybridMultilevel"/>
    <w:tmpl w:val="5972F6FE"/>
    <w:lvl w:ilvl="0" w:tplc="192875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AB468A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67C2C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ABE1F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2F65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D30F5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08ACE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63096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E9E5A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9" w15:restartNumberingAfterBreak="0">
    <w:nsid w:val="79601955"/>
    <w:multiLevelType w:val="multilevel"/>
    <w:tmpl w:val="F112D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9A6202"/>
    <w:multiLevelType w:val="hybridMultilevel"/>
    <w:tmpl w:val="4F2EFD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631477938">
    <w:abstractNumId w:val="20"/>
  </w:num>
  <w:num w:numId="2" w16cid:durableId="236942965">
    <w:abstractNumId w:val="36"/>
  </w:num>
  <w:num w:numId="3" w16cid:durableId="7127695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54442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1989917">
    <w:abstractNumId w:val="18"/>
  </w:num>
  <w:num w:numId="6" w16cid:durableId="1388335993">
    <w:abstractNumId w:val="15"/>
  </w:num>
  <w:num w:numId="7" w16cid:durableId="1332374129">
    <w:abstractNumId w:val="1"/>
  </w:num>
  <w:num w:numId="8" w16cid:durableId="1392464386">
    <w:abstractNumId w:val="9"/>
  </w:num>
  <w:num w:numId="9" w16cid:durableId="953824520">
    <w:abstractNumId w:val="32"/>
  </w:num>
  <w:num w:numId="10" w16cid:durableId="1359887028">
    <w:abstractNumId w:val="6"/>
  </w:num>
  <w:num w:numId="11" w16cid:durableId="1038896501">
    <w:abstractNumId w:val="10"/>
  </w:num>
  <w:num w:numId="12" w16cid:durableId="1617980826">
    <w:abstractNumId w:val="11"/>
  </w:num>
  <w:num w:numId="13" w16cid:durableId="675109514">
    <w:abstractNumId w:val="30"/>
  </w:num>
  <w:num w:numId="14" w16cid:durableId="225141879">
    <w:abstractNumId w:val="22"/>
  </w:num>
  <w:num w:numId="15" w16cid:durableId="503933389">
    <w:abstractNumId w:val="2"/>
  </w:num>
  <w:num w:numId="16" w16cid:durableId="91440835">
    <w:abstractNumId w:val="21"/>
  </w:num>
  <w:num w:numId="17" w16cid:durableId="1105349231">
    <w:abstractNumId w:val="0"/>
  </w:num>
  <w:num w:numId="18" w16cid:durableId="72166157">
    <w:abstractNumId w:val="13"/>
  </w:num>
  <w:num w:numId="19" w16cid:durableId="1337078468">
    <w:abstractNumId w:val="31"/>
  </w:num>
  <w:num w:numId="20" w16cid:durableId="1114397298">
    <w:abstractNumId w:val="29"/>
  </w:num>
  <w:num w:numId="21" w16cid:durableId="124276442">
    <w:abstractNumId w:val="28"/>
  </w:num>
  <w:num w:numId="22" w16cid:durableId="522018653">
    <w:abstractNumId w:val="37"/>
  </w:num>
  <w:num w:numId="23" w16cid:durableId="220480189">
    <w:abstractNumId w:val="34"/>
  </w:num>
  <w:num w:numId="24" w16cid:durableId="319113843">
    <w:abstractNumId w:val="26"/>
  </w:num>
  <w:num w:numId="25" w16cid:durableId="1768840618">
    <w:abstractNumId w:val="38"/>
  </w:num>
  <w:num w:numId="26" w16cid:durableId="257492217">
    <w:abstractNumId w:val="17"/>
  </w:num>
  <w:num w:numId="27" w16cid:durableId="522138307">
    <w:abstractNumId w:val="25"/>
  </w:num>
  <w:num w:numId="28" w16cid:durableId="914121754">
    <w:abstractNumId w:val="35"/>
  </w:num>
  <w:num w:numId="29" w16cid:durableId="369188462">
    <w:abstractNumId w:val="14"/>
  </w:num>
  <w:num w:numId="30" w16cid:durableId="1470323004">
    <w:abstractNumId w:val="24"/>
  </w:num>
  <w:num w:numId="31" w16cid:durableId="1578980876">
    <w:abstractNumId w:val="27"/>
  </w:num>
  <w:num w:numId="32" w16cid:durableId="1494763224">
    <w:abstractNumId w:val="12"/>
  </w:num>
  <w:num w:numId="33" w16cid:durableId="292714763">
    <w:abstractNumId w:val="33"/>
  </w:num>
  <w:num w:numId="34" w16cid:durableId="1875074286">
    <w:abstractNumId w:val="19"/>
  </w:num>
  <w:num w:numId="35" w16cid:durableId="1812089933">
    <w:abstractNumId w:val="8"/>
  </w:num>
  <w:num w:numId="36" w16cid:durableId="62527564">
    <w:abstractNumId w:val="7"/>
  </w:num>
  <w:num w:numId="37" w16cid:durableId="1508903989">
    <w:abstractNumId w:val="16"/>
  </w:num>
  <w:num w:numId="38" w16cid:durableId="1535460323">
    <w:abstractNumId w:val="4"/>
  </w:num>
  <w:num w:numId="39" w16cid:durableId="3316425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14042830">
    <w:abstractNumId w:val="5"/>
  </w:num>
  <w:num w:numId="41" w16cid:durableId="980815408">
    <w:abstractNumId w:val="3"/>
  </w:num>
  <w:num w:numId="42" w16cid:durableId="38275094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EANNA MARIE PORTALE">
    <w15:presenceInfo w15:providerId="AD" w15:userId="S::portale@wisc.edu::f9bb4ca2-ad09-4c0b-85cc-944e143bee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D5"/>
    <w:rsid w:val="000000E6"/>
    <w:rsid w:val="00025625"/>
    <w:rsid w:val="00064F44"/>
    <w:rsid w:val="00082798"/>
    <w:rsid w:val="00103935"/>
    <w:rsid w:val="00117223"/>
    <w:rsid w:val="00174762"/>
    <w:rsid w:val="001B5E86"/>
    <w:rsid w:val="001D7EBA"/>
    <w:rsid w:val="001E2D38"/>
    <w:rsid w:val="001F11E8"/>
    <w:rsid w:val="001F22C8"/>
    <w:rsid w:val="001F556E"/>
    <w:rsid w:val="002016E3"/>
    <w:rsid w:val="00214986"/>
    <w:rsid w:val="00221454"/>
    <w:rsid w:val="002221E6"/>
    <w:rsid w:val="00255667"/>
    <w:rsid w:val="00277A97"/>
    <w:rsid w:val="002E6F00"/>
    <w:rsid w:val="00305ECA"/>
    <w:rsid w:val="00320F5E"/>
    <w:rsid w:val="003335CE"/>
    <w:rsid w:val="00367F75"/>
    <w:rsid w:val="003800A6"/>
    <w:rsid w:val="00381C41"/>
    <w:rsid w:val="003A7042"/>
    <w:rsid w:val="003B0CD4"/>
    <w:rsid w:val="003B4D86"/>
    <w:rsid w:val="003D1F93"/>
    <w:rsid w:val="0042339F"/>
    <w:rsid w:val="00442518"/>
    <w:rsid w:val="00480930"/>
    <w:rsid w:val="00485E62"/>
    <w:rsid w:val="004905E0"/>
    <w:rsid w:val="00520F48"/>
    <w:rsid w:val="005275EF"/>
    <w:rsid w:val="00584CEC"/>
    <w:rsid w:val="00595602"/>
    <w:rsid w:val="005B38DA"/>
    <w:rsid w:val="005C3CC9"/>
    <w:rsid w:val="006522AA"/>
    <w:rsid w:val="00692BCE"/>
    <w:rsid w:val="006C2B9B"/>
    <w:rsid w:val="006C70D0"/>
    <w:rsid w:val="00722FA1"/>
    <w:rsid w:val="00727F74"/>
    <w:rsid w:val="00731FF8"/>
    <w:rsid w:val="00765411"/>
    <w:rsid w:val="007904E4"/>
    <w:rsid w:val="00804C67"/>
    <w:rsid w:val="00810B27"/>
    <w:rsid w:val="00837791"/>
    <w:rsid w:val="0084052C"/>
    <w:rsid w:val="00844DC4"/>
    <w:rsid w:val="00845A82"/>
    <w:rsid w:val="00891EFF"/>
    <w:rsid w:val="00893DA3"/>
    <w:rsid w:val="008A3BE6"/>
    <w:rsid w:val="008D11E7"/>
    <w:rsid w:val="009023DC"/>
    <w:rsid w:val="00950BB1"/>
    <w:rsid w:val="00992157"/>
    <w:rsid w:val="00A0196F"/>
    <w:rsid w:val="00A12633"/>
    <w:rsid w:val="00A15690"/>
    <w:rsid w:val="00A32526"/>
    <w:rsid w:val="00A5654F"/>
    <w:rsid w:val="00A80C4A"/>
    <w:rsid w:val="00A8357F"/>
    <w:rsid w:val="00AB49A1"/>
    <w:rsid w:val="00AB4A67"/>
    <w:rsid w:val="00AB71CE"/>
    <w:rsid w:val="00AD53C1"/>
    <w:rsid w:val="00B1364E"/>
    <w:rsid w:val="00B14FEA"/>
    <w:rsid w:val="00B66E1A"/>
    <w:rsid w:val="00B73440"/>
    <w:rsid w:val="00BA421D"/>
    <w:rsid w:val="00C16401"/>
    <w:rsid w:val="00C23BC0"/>
    <w:rsid w:val="00C44B1F"/>
    <w:rsid w:val="00C967AD"/>
    <w:rsid w:val="00CE57D3"/>
    <w:rsid w:val="00D5482D"/>
    <w:rsid w:val="00D82B0D"/>
    <w:rsid w:val="00D91E88"/>
    <w:rsid w:val="00DB69F2"/>
    <w:rsid w:val="00DC344D"/>
    <w:rsid w:val="00DD5F0E"/>
    <w:rsid w:val="00E02105"/>
    <w:rsid w:val="00E14B90"/>
    <w:rsid w:val="00E279D7"/>
    <w:rsid w:val="00E53EB3"/>
    <w:rsid w:val="00E90437"/>
    <w:rsid w:val="00EC172A"/>
    <w:rsid w:val="00EE6C86"/>
    <w:rsid w:val="00F051BF"/>
    <w:rsid w:val="00F20AD5"/>
    <w:rsid w:val="00F364EE"/>
    <w:rsid w:val="00F41003"/>
    <w:rsid w:val="00F5336C"/>
    <w:rsid w:val="00F544E6"/>
    <w:rsid w:val="00F65C37"/>
    <w:rsid w:val="00F746EF"/>
    <w:rsid w:val="00FE7053"/>
    <w:rsid w:val="00FF3793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76DB"/>
  <w15:chartTrackingRefBased/>
  <w15:docId w15:val="{896D2A2B-7375-4DB2-A755-A93FE462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A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A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A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D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39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16401"/>
    <w:pPr>
      <w:spacing w:after="0" w:line="240" w:lineRule="auto"/>
    </w:pPr>
  </w:style>
  <w:style w:type="paragraph" w:customStyle="1" w:styleId="xxparagraph">
    <w:name w:val="x_xparagraph"/>
    <w:basedOn w:val="Normal"/>
    <w:rsid w:val="003B0CD4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14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9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9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9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9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6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7w2Gv7ueOc" TargetMode="Externa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versityforward.medium.com/tokenism-the-result-of-diversity-without-inclusion-460061db1eb6" TargetMode="External"/><Relationship Id="rId12" Type="http://schemas.openxmlformats.org/officeDocument/2006/relationships/hyperlink" Target="https://www.ted.com/talks/janet_stovall_how_to_get_serious_about_diversity_and_inclusion_in_the_workplace?language=en" TargetMode="External"/><Relationship Id="rId17" Type="http://schemas.openxmlformats.org/officeDocument/2006/relationships/hyperlink" Target="https://www.wisc.edu/about/leadership/" TargetMode="Externa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cAKS86K2y4" TargetMode="External"/><Relationship Id="rId11" Type="http://schemas.openxmlformats.org/officeDocument/2006/relationships/hyperlink" Target="https://www.fastcompany.com/90516384/research-shows-us-workplaces-need-this-level-of-diversity-to-prevent-tokenism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medium.com/illumination-curated/i-am-a-black-woman-and-my-mentor-is-a-privileged-white-man-7ebd08086cd9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bbc.com/worklife/article/20210902-why-diverse-hires-cant-always-escape-tokenism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3C8A8-0484-4DBE-A253-35E6F853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Pediatrics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D.K.. Ruedinger</dc:creator>
  <cp:keywords/>
  <dc:description/>
  <cp:lastModifiedBy>BREANNA MARIE PORTALE</cp:lastModifiedBy>
  <cp:revision>23</cp:revision>
  <dcterms:created xsi:type="dcterms:W3CDTF">2021-11-11T16:22:00Z</dcterms:created>
  <dcterms:modified xsi:type="dcterms:W3CDTF">2022-07-05T22:07:00Z</dcterms:modified>
</cp:coreProperties>
</file>