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65F" w14:textId="77777777" w:rsidR="00F20AD5" w:rsidRPr="00F20AD5" w:rsidRDefault="00F20AD5" w:rsidP="00F20AD5">
      <w:pPr>
        <w:rPr>
          <w:b/>
        </w:rPr>
      </w:pPr>
      <w:r w:rsidRPr="00F20AD5">
        <w:rPr>
          <w:b/>
        </w:rPr>
        <w:t xml:space="preserve">Social Determinants of Health- </w:t>
      </w:r>
      <w:r w:rsidR="00FD69B7">
        <w:rPr>
          <w:b/>
        </w:rPr>
        <w:t>part 3</w:t>
      </w:r>
    </w:p>
    <w:p w14:paraId="4CE3ADFB" w14:textId="77777777" w:rsidR="00F20AD5" w:rsidRPr="00F20AD5" w:rsidRDefault="00F20AD5" w:rsidP="00F20AD5">
      <w:pPr>
        <w:rPr>
          <w:rFonts w:cstheme="minorHAnsi"/>
        </w:rPr>
      </w:pPr>
    </w:p>
    <w:p w14:paraId="55965D5C" w14:textId="77777777" w:rsidR="00F20AD5" w:rsidRPr="00F20AD5" w:rsidRDefault="00F20AD5" w:rsidP="00F20AD5">
      <w:pPr>
        <w:rPr>
          <w:rFonts w:cstheme="minorHAnsi"/>
        </w:rPr>
      </w:pPr>
      <w:r w:rsidRPr="00F20AD5">
        <w:rPr>
          <w:rFonts w:cstheme="minorHAnsi"/>
          <w:i/>
          <w:u w:val="single"/>
        </w:rPr>
        <w:t>Objectives:</w:t>
      </w:r>
      <w:r w:rsidRPr="00F20AD5">
        <w:rPr>
          <w:rFonts w:cstheme="minorHAnsi"/>
        </w:rPr>
        <w:t xml:space="preserve"> </w:t>
      </w:r>
    </w:p>
    <w:p w14:paraId="048870D6" w14:textId="77777777" w:rsidR="00F20AD5" w:rsidRPr="00F20AD5" w:rsidRDefault="00F20AD5" w:rsidP="00F20AD5">
      <w:pPr>
        <w:rPr>
          <w:rFonts w:cstheme="minorHAnsi"/>
        </w:rPr>
      </w:pPr>
      <w:r w:rsidRPr="00F20AD5">
        <w:rPr>
          <w:rFonts w:cstheme="minorHAnsi"/>
        </w:rPr>
        <w:t>Following completion of this session, learners will be able to</w:t>
      </w:r>
    </w:p>
    <w:p w14:paraId="29D3CD48" w14:textId="16540135" w:rsidR="00F20AD5" w:rsidRPr="00B4574D" w:rsidRDefault="00F20AD5" w:rsidP="00F20AD5">
      <w:pPr>
        <w:pStyle w:val="ListParagraph"/>
        <w:numPr>
          <w:ilvl w:val="0"/>
          <w:numId w:val="1"/>
        </w:numPr>
        <w:rPr>
          <w:rFonts w:cstheme="minorHAnsi"/>
        </w:rPr>
      </w:pPr>
      <w:r w:rsidRPr="00B4574D">
        <w:rPr>
          <w:rFonts w:cstheme="minorHAnsi"/>
        </w:rPr>
        <w:t xml:space="preserve">Evaluate the impact of </w:t>
      </w:r>
      <w:proofErr w:type="spellStart"/>
      <w:r w:rsidRPr="00B4574D">
        <w:rPr>
          <w:rFonts w:cstheme="minorHAnsi"/>
        </w:rPr>
        <w:t>SDoH</w:t>
      </w:r>
      <w:proofErr w:type="spellEnd"/>
      <w:r w:rsidRPr="00B4574D">
        <w:rPr>
          <w:rFonts w:cstheme="minorHAnsi"/>
        </w:rPr>
        <w:t xml:space="preserve"> on individual patients</w:t>
      </w:r>
    </w:p>
    <w:p w14:paraId="0C39833C" w14:textId="77777777" w:rsidR="006557A8" w:rsidRDefault="00B4574D" w:rsidP="006557A8">
      <w:pPr>
        <w:pStyle w:val="ListParagraph"/>
        <w:numPr>
          <w:ilvl w:val="0"/>
          <w:numId w:val="1"/>
        </w:numPr>
        <w:rPr>
          <w:rFonts w:cstheme="minorHAnsi"/>
        </w:rPr>
      </w:pPr>
      <w:r>
        <w:rPr>
          <w:rFonts w:cstheme="minorHAnsi"/>
        </w:rPr>
        <w:t>A</w:t>
      </w:r>
      <w:r w:rsidRPr="00B4574D">
        <w:rPr>
          <w:rFonts w:cstheme="minorHAnsi"/>
        </w:rPr>
        <w:t>cknowledg</w:t>
      </w:r>
      <w:r w:rsidR="009341D3">
        <w:rPr>
          <w:rFonts w:cstheme="minorHAnsi"/>
        </w:rPr>
        <w:t>e</w:t>
      </w:r>
      <w:r w:rsidRPr="00B4574D">
        <w:rPr>
          <w:rFonts w:cstheme="minorHAnsi"/>
        </w:rPr>
        <w:t xml:space="preserve"> how th</w:t>
      </w:r>
      <w:r>
        <w:rPr>
          <w:rFonts w:cstheme="minorHAnsi"/>
        </w:rPr>
        <w:t>e causes of causes</w:t>
      </w:r>
      <w:r w:rsidRPr="00B4574D">
        <w:rPr>
          <w:rFonts w:cstheme="minorHAnsi"/>
        </w:rPr>
        <w:t xml:space="preserve"> is relevant to </w:t>
      </w:r>
      <w:proofErr w:type="spellStart"/>
      <w:r w:rsidRPr="00B4574D">
        <w:rPr>
          <w:rFonts w:cstheme="minorHAnsi"/>
        </w:rPr>
        <w:t>SDoH</w:t>
      </w:r>
      <w:proofErr w:type="spellEnd"/>
      <w:r w:rsidR="006557A8">
        <w:rPr>
          <w:rFonts w:cstheme="minorHAnsi"/>
        </w:rPr>
        <w:t xml:space="preserve"> </w:t>
      </w:r>
    </w:p>
    <w:p w14:paraId="33EFEDBA" w14:textId="173FF8D3" w:rsidR="00B4574D" w:rsidRPr="006557A8" w:rsidRDefault="00B4574D" w:rsidP="006557A8">
      <w:pPr>
        <w:pStyle w:val="ListParagraph"/>
        <w:numPr>
          <w:ilvl w:val="0"/>
          <w:numId w:val="1"/>
        </w:numPr>
        <w:rPr>
          <w:rFonts w:cstheme="minorHAnsi"/>
        </w:rPr>
      </w:pPr>
      <w:r w:rsidRPr="006557A8">
        <w:rPr>
          <w:rFonts w:cstheme="minorHAnsi"/>
        </w:rPr>
        <w:t xml:space="preserve">Apply the causes to causes to real patient settings </w:t>
      </w:r>
    </w:p>
    <w:p w14:paraId="3D770385" w14:textId="77777777" w:rsidR="00F20AD5" w:rsidRPr="00F20AD5" w:rsidRDefault="00F20AD5" w:rsidP="00F20AD5">
      <w:pPr>
        <w:rPr>
          <w:rFonts w:cstheme="minorHAnsi"/>
          <w:i/>
          <w:u w:val="single"/>
        </w:rPr>
      </w:pPr>
    </w:p>
    <w:p w14:paraId="19CEE048" w14:textId="77777777" w:rsidR="00F20AD5" w:rsidRPr="00F20AD5" w:rsidRDefault="00F20AD5" w:rsidP="00F20AD5">
      <w:pPr>
        <w:rPr>
          <w:rFonts w:cstheme="minorHAnsi"/>
          <w:i/>
          <w:u w:val="single"/>
        </w:rPr>
      </w:pPr>
      <w:r w:rsidRPr="00F20AD5">
        <w:rPr>
          <w:rFonts w:cstheme="minorHAnsi"/>
          <w:i/>
          <w:u w:val="single"/>
        </w:rPr>
        <w:t>Preparatory Work:</w:t>
      </w:r>
    </w:p>
    <w:p w14:paraId="307EF144" w14:textId="022439E8" w:rsidR="00F20AD5" w:rsidRPr="00A2698B" w:rsidRDefault="00F20AD5" w:rsidP="00A2698B">
      <w:pPr>
        <w:rPr>
          <w:rStyle w:val="Hyperlink"/>
          <w:rFonts w:cstheme="minorHAnsi"/>
          <w:color w:val="auto"/>
          <w:u w:val="none"/>
        </w:rPr>
      </w:pPr>
      <w:r w:rsidRPr="00F20AD5">
        <w:rPr>
          <w:rFonts w:cstheme="minorHAnsi"/>
        </w:rPr>
        <w:t>Prior to attending th</w:t>
      </w:r>
      <w:r w:rsidR="00711DE5">
        <w:rPr>
          <w:rFonts w:cstheme="minorHAnsi"/>
        </w:rPr>
        <w:t>is</w:t>
      </w:r>
      <w:r w:rsidRPr="00F20AD5">
        <w:rPr>
          <w:rFonts w:cstheme="minorHAnsi"/>
        </w:rPr>
        <w:t xml:space="preserve"> session, learners have been asked to:</w:t>
      </w:r>
    </w:p>
    <w:p w14:paraId="35FC2363" w14:textId="3FE6D43D" w:rsidR="00F20AD5" w:rsidRPr="00F20AD5" w:rsidRDefault="00F20AD5" w:rsidP="00F20AD5">
      <w:pPr>
        <w:rPr>
          <w:rFonts w:cstheme="minorHAnsi"/>
        </w:rPr>
      </w:pPr>
      <w:r w:rsidRPr="00711DE5">
        <w:rPr>
          <w:rFonts w:cstheme="minorHAnsi"/>
        </w:rPr>
        <w:t>Watch Unnatural Causes Episode 1: In Sickness and in Wealth</w:t>
      </w:r>
      <w:r w:rsidR="00711DE5">
        <w:rPr>
          <w:rFonts w:cstheme="minorHAnsi"/>
        </w:rPr>
        <w:t xml:space="preserve"> (shown in </w:t>
      </w:r>
      <w:proofErr w:type="spellStart"/>
      <w:r w:rsidR="00711DE5">
        <w:rPr>
          <w:rFonts w:cstheme="minorHAnsi"/>
        </w:rPr>
        <w:t>SDoH</w:t>
      </w:r>
      <w:proofErr w:type="spellEnd"/>
      <w:r w:rsidR="00711DE5">
        <w:rPr>
          <w:rFonts w:cstheme="minorHAnsi"/>
        </w:rPr>
        <w:t xml:space="preserve"> Part 2; should watch independently if not at that session)</w:t>
      </w:r>
    </w:p>
    <w:p w14:paraId="24E654AC" w14:textId="77777777" w:rsidR="00F20AD5" w:rsidRDefault="001D7EBA" w:rsidP="001D7EBA">
      <w:pPr>
        <w:rPr>
          <w:rFonts w:cstheme="minorHAnsi"/>
          <w:i/>
          <w:u w:val="single"/>
        </w:rPr>
      </w:pPr>
      <w:r>
        <w:rPr>
          <w:rFonts w:cstheme="minorHAnsi"/>
          <w:i/>
          <w:u w:val="single"/>
        </w:rPr>
        <w:t>In Session Facilitator Guide</w:t>
      </w:r>
    </w:p>
    <w:tbl>
      <w:tblPr>
        <w:tblStyle w:val="TableGrid"/>
        <w:tblW w:w="0" w:type="auto"/>
        <w:tblLook w:val="04A0" w:firstRow="1" w:lastRow="0" w:firstColumn="1" w:lastColumn="0" w:noHBand="0" w:noVBand="1"/>
      </w:tblPr>
      <w:tblGrid>
        <w:gridCol w:w="1082"/>
        <w:gridCol w:w="1261"/>
        <w:gridCol w:w="8182"/>
        <w:gridCol w:w="2713"/>
      </w:tblGrid>
      <w:tr w:rsidR="0028184F" w14:paraId="77812A5B" w14:textId="77777777" w:rsidTr="0028184F">
        <w:tc>
          <w:tcPr>
            <w:tcW w:w="1082" w:type="dxa"/>
          </w:tcPr>
          <w:p w14:paraId="334B1DCE" w14:textId="77777777" w:rsidR="0028184F" w:rsidRPr="001D7EBA" w:rsidRDefault="0028184F" w:rsidP="001D7EBA">
            <w:pPr>
              <w:jc w:val="center"/>
              <w:rPr>
                <w:rFonts w:cstheme="minorHAnsi"/>
                <w:b/>
              </w:rPr>
            </w:pPr>
            <w:r w:rsidRPr="001D7EBA">
              <w:rPr>
                <w:rFonts w:cstheme="minorHAnsi"/>
                <w:b/>
              </w:rPr>
              <w:t>Duration</w:t>
            </w:r>
          </w:p>
        </w:tc>
        <w:tc>
          <w:tcPr>
            <w:tcW w:w="1261" w:type="dxa"/>
          </w:tcPr>
          <w:p w14:paraId="63C34113" w14:textId="77777777" w:rsidR="0028184F" w:rsidRPr="001D7EBA" w:rsidRDefault="0028184F" w:rsidP="001D7EBA">
            <w:pPr>
              <w:jc w:val="center"/>
              <w:rPr>
                <w:rFonts w:cstheme="minorHAnsi"/>
                <w:b/>
              </w:rPr>
            </w:pPr>
            <w:r w:rsidRPr="001D7EBA">
              <w:rPr>
                <w:rFonts w:cstheme="minorHAnsi"/>
                <w:b/>
              </w:rPr>
              <w:t>Format</w:t>
            </w:r>
          </w:p>
        </w:tc>
        <w:tc>
          <w:tcPr>
            <w:tcW w:w="8182" w:type="dxa"/>
          </w:tcPr>
          <w:p w14:paraId="54A45C8E" w14:textId="77777777" w:rsidR="0028184F" w:rsidRPr="001D7EBA" w:rsidRDefault="0028184F" w:rsidP="001D7EBA">
            <w:pPr>
              <w:jc w:val="center"/>
              <w:rPr>
                <w:rFonts w:cstheme="minorHAnsi"/>
                <w:b/>
              </w:rPr>
            </w:pPr>
            <w:r w:rsidRPr="001D7EBA">
              <w:rPr>
                <w:rFonts w:cstheme="minorHAnsi"/>
                <w:b/>
              </w:rPr>
              <w:t>Activity</w:t>
            </w:r>
          </w:p>
        </w:tc>
        <w:tc>
          <w:tcPr>
            <w:tcW w:w="2713" w:type="dxa"/>
          </w:tcPr>
          <w:p w14:paraId="407F8795" w14:textId="77777777" w:rsidR="0028184F" w:rsidRPr="001D7EBA" w:rsidRDefault="0028184F" w:rsidP="001D7EBA">
            <w:pPr>
              <w:jc w:val="center"/>
              <w:rPr>
                <w:rFonts w:cstheme="minorHAnsi"/>
                <w:b/>
              </w:rPr>
            </w:pPr>
            <w:r>
              <w:rPr>
                <w:rFonts w:cstheme="minorHAnsi"/>
                <w:b/>
              </w:rPr>
              <w:t>Materials Required</w:t>
            </w:r>
          </w:p>
        </w:tc>
      </w:tr>
      <w:tr w:rsidR="00BD3DEC" w14:paraId="5793ECBA" w14:textId="77777777" w:rsidTr="0028184F">
        <w:tc>
          <w:tcPr>
            <w:tcW w:w="1082" w:type="dxa"/>
          </w:tcPr>
          <w:p w14:paraId="3142CCFC" w14:textId="77777777" w:rsidR="00BD3DEC" w:rsidRDefault="00BD3DEC" w:rsidP="001D7EBA">
            <w:pPr>
              <w:rPr>
                <w:rFonts w:cstheme="minorHAnsi"/>
              </w:rPr>
            </w:pPr>
            <w:r>
              <w:rPr>
                <w:rFonts w:cstheme="minorHAnsi"/>
              </w:rPr>
              <w:t>10min</w:t>
            </w:r>
          </w:p>
        </w:tc>
        <w:tc>
          <w:tcPr>
            <w:tcW w:w="1261" w:type="dxa"/>
          </w:tcPr>
          <w:p w14:paraId="6ABEB6FC" w14:textId="77777777" w:rsidR="00BD3DEC" w:rsidRDefault="00BD3DEC" w:rsidP="001D7EBA">
            <w:pPr>
              <w:rPr>
                <w:rFonts w:cstheme="minorHAnsi"/>
              </w:rPr>
            </w:pPr>
          </w:p>
        </w:tc>
        <w:tc>
          <w:tcPr>
            <w:tcW w:w="8182" w:type="dxa"/>
          </w:tcPr>
          <w:p w14:paraId="317EE0C7" w14:textId="77777777" w:rsidR="00BD3DEC" w:rsidRDefault="00BD3DEC" w:rsidP="00BD3DEC">
            <w:pPr>
              <w:rPr>
                <w:rFonts w:cstheme="minorHAnsi"/>
              </w:rPr>
            </w:pPr>
            <w:r>
              <w:rPr>
                <w:rFonts w:cstheme="minorHAnsi"/>
              </w:rPr>
              <w:t xml:space="preserve">Review of discussion on </w:t>
            </w:r>
            <w:proofErr w:type="spellStart"/>
            <w:r>
              <w:rPr>
                <w:rFonts w:cstheme="minorHAnsi"/>
              </w:rPr>
              <w:t>SDoH</w:t>
            </w:r>
            <w:proofErr w:type="spellEnd"/>
            <w:r>
              <w:rPr>
                <w:rFonts w:cstheme="minorHAnsi"/>
              </w:rPr>
              <w:t xml:space="preserve"> (re-orient to material)</w:t>
            </w:r>
          </w:p>
          <w:p w14:paraId="6B81F61A" w14:textId="77777777" w:rsidR="00BD3DEC" w:rsidRDefault="00BD3DEC" w:rsidP="00BD3DEC">
            <w:pPr>
              <w:rPr>
                <w:rFonts w:cstheme="minorHAnsi"/>
              </w:rPr>
            </w:pPr>
            <w:r>
              <w:rPr>
                <w:rFonts w:cstheme="minorHAnsi"/>
              </w:rPr>
              <w:t>Reminder- watched video “in sickness and in wealth” showing that wealth is an incredibly powerful predictor of health</w:t>
            </w:r>
          </w:p>
          <w:p w14:paraId="73CB2C0B" w14:textId="77777777" w:rsidR="00BD3DEC" w:rsidRPr="00BD3DEC" w:rsidRDefault="00BD3DEC" w:rsidP="00BD3DEC">
            <w:pPr>
              <w:rPr>
                <w:rFonts w:cstheme="minorHAnsi"/>
              </w:rPr>
            </w:pPr>
            <w:r>
              <w:rPr>
                <w:rFonts w:cstheme="minorHAnsi"/>
              </w:rPr>
              <w:t xml:space="preserve">Wealth distribution video—this is from 2012 so it’s old and things have only gotten worse! </w:t>
            </w:r>
            <w:hyperlink r:id="rId6" w:history="1">
              <w:r w:rsidRPr="007F68EB">
                <w:rPr>
                  <w:rStyle w:val="Hyperlink"/>
                  <w:rFonts w:cstheme="minorHAnsi"/>
                </w:rPr>
                <w:t>https://www.youtube.com/watch?v=QPKKQnijnsM</w:t>
              </w:r>
            </w:hyperlink>
            <w:r>
              <w:rPr>
                <w:rFonts w:cstheme="minorHAnsi"/>
              </w:rPr>
              <w:t xml:space="preserve"> </w:t>
            </w:r>
          </w:p>
        </w:tc>
        <w:tc>
          <w:tcPr>
            <w:tcW w:w="2713" w:type="dxa"/>
          </w:tcPr>
          <w:p w14:paraId="546591B7" w14:textId="77777777" w:rsidR="00BD3DEC" w:rsidRDefault="00BD3DEC" w:rsidP="0028184F">
            <w:pPr>
              <w:rPr>
                <w:rFonts w:cstheme="minorHAnsi"/>
              </w:rPr>
            </w:pPr>
          </w:p>
        </w:tc>
      </w:tr>
      <w:tr w:rsidR="0028184F" w14:paraId="7C518543" w14:textId="77777777" w:rsidTr="0028184F">
        <w:tc>
          <w:tcPr>
            <w:tcW w:w="1082" w:type="dxa"/>
          </w:tcPr>
          <w:p w14:paraId="60ED6DD7" w14:textId="77777777" w:rsidR="0028184F" w:rsidRPr="00D662DC" w:rsidRDefault="00831E09" w:rsidP="001D7EBA">
            <w:pPr>
              <w:rPr>
                <w:rFonts w:cstheme="minorHAnsi"/>
              </w:rPr>
            </w:pPr>
            <w:r>
              <w:rPr>
                <w:rFonts w:cstheme="minorHAnsi"/>
              </w:rPr>
              <w:t>2</w:t>
            </w:r>
            <w:r w:rsidR="0028184F">
              <w:rPr>
                <w:rFonts w:cstheme="minorHAnsi"/>
              </w:rPr>
              <w:t>5 min</w:t>
            </w:r>
          </w:p>
        </w:tc>
        <w:tc>
          <w:tcPr>
            <w:tcW w:w="1261" w:type="dxa"/>
          </w:tcPr>
          <w:p w14:paraId="0F9BBBE2" w14:textId="77777777" w:rsidR="0028184F" w:rsidRDefault="0028184F" w:rsidP="001D7EBA">
            <w:pPr>
              <w:rPr>
                <w:rFonts w:cstheme="minorHAnsi"/>
              </w:rPr>
            </w:pPr>
            <w:r>
              <w:rPr>
                <w:rFonts w:cstheme="minorHAnsi"/>
              </w:rPr>
              <w:t>Small Group</w:t>
            </w:r>
          </w:p>
          <w:p w14:paraId="64837A5B" w14:textId="77777777" w:rsidR="0028184F" w:rsidRPr="00D662DC" w:rsidRDefault="0028184F" w:rsidP="001D7EBA">
            <w:pPr>
              <w:rPr>
                <w:rFonts w:cstheme="minorHAnsi"/>
              </w:rPr>
            </w:pPr>
            <w:r>
              <w:rPr>
                <w:rFonts w:cstheme="minorHAnsi"/>
              </w:rPr>
              <w:t>Discussion</w:t>
            </w:r>
          </w:p>
        </w:tc>
        <w:tc>
          <w:tcPr>
            <w:tcW w:w="8182" w:type="dxa"/>
          </w:tcPr>
          <w:p w14:paraId="22F9EA2C" w14:textId="0C36CEF6" w:rsidR="0028184F" w:rsidRPr="00BD3DEC" w:rsidRDefault="0028184F" w:rsidP="00BD3DEC">
            <w:pPr>
              <w:rPr>
                <w:rFonts w:cstheme="minorHAnsi"/>
              </w:rPr>
            </w:pPr>
            <w:r w:rsidRPr="00BD3DEC">
              <w:rPr>
                <w:rFonts w:cstheme="minorHAnsi"/>
              </w:rPr>
              <w:t xml:space="preserve">Use question prompts to lead a discussion of the </w:t>
            </w:r>
            <w:r w:rsidR="00BD3DEC" w:rsidRPr="00BD3DEC">
              <w:rPr>
                <w:rFonts w:cstheme="minorHAnsi"/>
              </w:rPr>
              <w:t xml:space="preserve">Unnatural Causes </w:t>
            </w:r>
            <w:r w:rsidRPr="00BD3DEC">
              <w:rPr>
                <w:rFonts w:cstheme="minorHAnsi"/>
              </w:rPr>
              <w:t>video</w:t>
            </w:r>
          </w:p>
          <w:p w14:paraId="68997026" w14:textId="77777777" w:rsidR="00A2698B" w:rsidRPr="00F20AD5" w:rsidRDefault="00A2698B" w:rsidP="00BD3DEC">
            <w:pPr>
              <w:pStyle w:val="ListParagraph"/>
              <w:numPr>
                <w:ilvl w:val="0"/>
                <w:numId w:val="6"/>
              </w:numPr>
              <w:rPr>
                <w:rFonts w:eastAsia="Times New Roman" w:cstheme="minorHAnsi"/>
                <w:color w:val="000000"/>
              </w:rPr>
            </w:pPr>
            <w:r w:rsidRPr="00F20AD5">
              <w:rPr>
                <w:rFonts w:cstheme="minorHAnsi"/>
              </w:rPr>
              <w:t>Dr. Adewale Troutman says that he promotes individual responsibility, but always within the context of social determinants. Why does he link the two? What is missing if we focus exclusively on individual responsibility? How does this affect possibilities for change?</w:t>
            </w:r>
          </w:p>
          <w:p w14:paraId="61705DA9" w14:textId="77777777" w:rsidR="00A2698B" w:rsidRPr="00831E09" w:rsidRDefault="00A2698B" w:rsidP="00BD3DEC">
            <w:pPr>
              <w:pStyle w:val="ListParagraph"/>
              <w:numPr>
                <w:ilvl w:val="0"/>
                <w:numId w:val="6"/>
              </w:numPr>
              <w:rPr>
                <w:rFonts w:eastAsia="Times New Roman" w:cstheme="minorHAnsi"/>
                <w:color w:val="000000"/>
              </w:rPr>
            </w:pPr>
            <w:r w:rsidRPr="00F20AD5">
              <w:rPr>
                <w:rFonts w:cstheme="minorHAnsi"/>
              </w:rPr>
              <w:t>Dr. Troutman says: “There’s almost a cultural demarcation in the city where on one side of this particular street, Ninth Street, there’s a tremendous amount of new development going on, condos rising up</w:t>
            </w:r>
            <w:proofErr w:type="gramStart"/>
            <w:r w:rsidRPr="00F20AD5">
              <w:rPr>
                <w:rFonts w:cstheme="minorHAnsi"/>
              </w:rPr>
              <w:t>….And</w:t>
            </w:r>
            <w:proofErr w:type="gramEnd"/>
            <w:r w:rsidRPr="00F20AD5">
              <w:rPr>
                <w:rFonts w:cstheme="minorHAnsi"/>
              </w:rPr>
              <w:t xml:space="preserve"> right across the street is where the public housing projects begin…. Every city has a Ninth Street.” Where is the Ninth Street, the dividing line, in Madison? How would you characterize either side of the </w:t>
            </w:r>
            <w:r w:rsidRPr="00F20AD5">
              <w:rPr>
                <w:rFonts w:cstheme="minorHAnsi"/>
              </w:rPr>
              <w:lastRenderedPageBreak/>
              <w:t>line? List and compare the health promoters and health threats. Who lives there and who doesn’t? Why? Were these areas different in the past? What government, land use, development and other investment decisions changed them?</w:t>
            </w:r>
          </w:p>
          <w:p w14:paraId="2EC5FFE7" w14:textId="77777777" w:rsidR="00831E09" w:rsidRPr="00831E09" w:rsidRDefault="00831E09" w:rsidP="00831E09">
            <w:pPr>
              <w:pStyle w:val="ListParagraph"/>
              <w:ind w:left="360"/>
              <w:rPr>
                <w:rFonts w:eastAsia="Times New Roman" w:cstheme="minorHAnsi"/>
                <w:color w:val="000000"/>
              </w:rPr>
            </w:pPr>
            <w:r>
              <w:rPr>
                <w:rFonts w:eastAsia="Times New Roman" w:cstheme="minorHAnsi"/>
                <w:color w:val="000000"/>
              </w:rPr>
              <w:t xml:space="preserve">**During this discussion, </w:t>
            </w:r>
            <w:r>
              <w:rPr>
                <w:rFonts w:eastAsia="Times New Roman" w:cstheme="minorHAnsi"/>
                <w:b/>
                <w:color w:val="000000"/>
              </w:rPr>
              <w:t xml:space="preserve">SHOW VIDEO </w:t>
            </w:r>
            <w:r>
              <w:rPr>
                <w:rFonts w:eastAsia="Times New Roman" w:cstheme="minorHAnsi"/>
                <w:color w:val="000000"/>
              </w:rPr>
              <w:t xml:space="preserve">on redlining, one of the most powerful policies with an enduring legacy severely impacting wealth and health by neighborhood.  </w:t>
            </w:r>
            <w:r w:rsidRPr="00831E09">
              <w:rPr>
                <w:rFonts w:eastAsia="Times New Roman" w:cstheme="minorHAnsi"/>
                <w:b/>
                <w:color w:val="000000"/>
              </w:rPr>
              <w:t>SHOW SLIDE</w:t>
            </w:r>
            <w:r>
              <w:rPr>
                <w:rFonts w:eastAsia="Times New Roman" w:cstheme="minorHAnsi"/>
                <w:color w:val="000000"/>
              </w:rPr>
              <w:t xml:space="preserve"> linking redlining map to racial distribution w/in the city and health outcomes.  Video: </w:t>
            </w:r>
            <w:hyperlink r:id="rId7" w:history="1">
              <w:r w:rsidRPr="007F68EB">
                <w:rPr>
                  <w:rStyle w:val="Hyperlink"/>
                  <w:rFonts w:eastAsia="Times New Roman" w:cstheme="minorHAnsi"/>
                </w:rPr>
                <w:t>https://www.youtube.com/watch?v=2o-yD0wGxAc</w:t>
              </w:r>
            </w:hyperlink>
            <w:r>
              <w:rPr>
                <w:rFonts w:eastAsia="Times New Roman" w:cstheme="minorHAnsi"/>
                <w:color w:val="000000"/>
              </w:rPr>
              <w:t xml:space="preserve"> </w:t>
            </w:r>
          </w:p>
          <w:p w14:paraId="7CF6FCC8" w14:textId="77777777" w:rsidR="00A2698B" w:rsidRPr="00F20AD5" w:rsidRDefault="00A2698B" w:rsidP="00BD3DEC">
            <w:pPr>
              <w:pStyle w:val="ListParagraph"/>
              <w:numPr>
                <w:ilvl w:val="0"/>
                <w:numId w:val="6"/>
              </w:numPr>
              <w:rPr>
                <w:rFonts w:eastAsia="Times New Roman" w:cstheme="minorHAnsi"/>
                <w:color w:val="000000"/>
              </w:rPr>
            </w:pPr>
            <w:r w:rsidRPr="00F20AD5">
              <w:rPr>
                <w:rFonts w:cstheme="minorHAnsi"/>
              </w:rPr>
              <w:t>Whitehall study director Sir Michael Marmot says, “If inequalities in health were a fixed property of society, then you’d say, ‘We can’t do anything about it.’ But that’s not the case. The magnitude of inequalities in health changes over time. It can get rapidly worse, and if it can get rapidly worse, it ought to be possible to make it rapidly better.” What social policies have historically promoted better health for everyone?  What potential future policies could make things better?</w:t>
            </w:r>
          </w:p>
          <w:p w14:paraId="2A4C89E1" w14:textId="77777777" w:rsidR="00A2698B" w:rsidRPr="00831E09" w:rsidRDefault="00A2698B" w:rsidP="00831E09">
            <w:pPr>
              <w:rPr>
                <w:rFonts w:cstheme="minorHAnsi"/>
              </w:rPr>
            </w:pPr>
          </w:p>
          <w:p w14:paraId="55525514" w14:textId="77777777" w:rsidR="0028184F" w:rsidRPr="00831E09" w:rsidRDefault="0028184F" w:rsidP="00831E09">
            <w:pPr>
              <w:rPr>
                <w:rFonts w:cstheme="minorHAnsi"/>
              </w:rPr>
            </w:pPr>
            <w:r w:rsidRPr="00831E09">
              <w:rPr>
                <w:rFonts w:cstheme="minorHAnsi"/>
              </w:rPr>
              <w:t>Optional: facilitator may choose to skim the full Unnatural Causes facilitator guide (pdf). Please note, we will not have time to review all of the Episode One questions.  Focus on the questions highlighted in the “preparatory work” section.</w:t>
            </w:r>
          </w:p>
        </w:tc>
        <w:tc>
          <w:tcPr>
            <w:tcW w:w="2713" w:type="dxa"/>
          </w:tcPr>
          <w:p w14:paraId="5296C006" w14:textId="77777777" w:rsidR="0028184F" w:rsidRPr="0028184F" w:rsidRDefault="0028184F" w:rsidP="0028184F">
            <w:pPr>
              <w:rPr>
                <w:rFonts w:cstheme="minorHAnsi"/>
              </w:rPr>
            </w:pPr>
            <w:r>
              <w:rPr>
                <w:rFonts w:cstheme="minorHAnsi"/>
              </w:rPr>
              <w:lastRenderedPageBreak/>
              <w:t>Small group facilitators need question prompts available to them</w:t>
            </w:r>
          </w:p>
        </w:tc>
      </w:tr>
      <w:tr w:rsidR="0045302F" w14:paraId="2774556B" w14:textId="77777777" w:rsidTr="0028184F">
        <w:tc>
          <w:tcPr>
            <w:tcW w:w="1082" w:type="dxa"/>
          </w:tcPr>
          <w:p w14:paraId="5E72486F" w14:textId="77777777" w:rsidR="0045302F" w:rsidRDefault="00F71739" w:rsidP="001D7EBA">
            <w:pPr>
              <w:rPr>
                <w:rFonts w:cstheme="minorHAnsi"/>
              </w:rPr>
            </w:pPr>
            <w:r>
              <w:rPr>
                <w:rFonts w:cstheme="minorHAnsi"/>
              </w:rPr>
              <w:t>10 min</w:t>
            </w:r>
          </w:p>
        </w:tc>
        <w:tc>
          <w:tcPr>
            <w:tcW w:w="1261" w:type="dxa"/>
          </w:tcPr>
          <w:p w14:paraId="6151B625" w14:textId="77777777" w:rsidR="0045302F" w:rsidRDefault="00F71739" w:rsidP="001D7EBA">
            <w:pPr>
              <w:rPr>
                <w:rFonts w:cstheme="minorHAnsi"/>
              </w:rPr>
            </w:pPr>
            <w:r>
              <w:rPr>
                <w:rFonts w:cstheme="minorHAnsi"/>
              </w:rPr>
              <w:t>Large Group Intro to Causes of Causes</w:t>
            </w:r>
            <w:r w:rsidR="00D14A95">
              <w:rPr>
                <w:rFonts w:cstheme="minorHAnsi"/>
              </w:rPr>
              <w:t xml:space="preserve"> </w:t>
            </w:r>
            <w:proofErr w:type="spellStart"/>
            <w:r w:rsidR="00D14A95">
              <w:rPr>
                <w:rFonts w:cstheme="minorHAnsi"/>
              </w:rPr>
              <w:t>Powerpoint</w:t>
            </w:r>
            <w:proofErr w:type="spellEnd"/>
          </w:p>
        </w:tc>
        <w:tc>
          <w:tcPr>
            <w:tcW w:w="8182" w:type="dxa"/>
          </w:tcPr>
          <w:p w14:paraId="16C591E5" w14:textId="77777777" w:rsidR="0045302F" w:rsidRDefault="00D14A95" w:rsidP="0045302F">
            <w:pPr>
              <w:pStyle w:val="ListParagraph"/>
              <w:numPr>
                <w:ilvl w:val="0"/>
                <w:numId w:val="10"/>
              </w:numPr>
              <w:rPr>
                <w:rFonts w:cstheme="minorHAnsi"/>
              </w:rPr>
            </w:pPr>
            <w:r>
              <w:rPr>
                <w:rFonts w:cstheme="minorHAnsi"/>
              </w:rPr>
              <w:t>Intro to causes of causes</w:t>
            </w:r>
          </w:p>
          <w:p w14:paraId="347AB99C" w14:textId="77777777" w:rsidR="00D14A95" w:rsidRDefault="00D14A95" w:rsidP="0045302F">
            <w:pPr>
              <w:pStyle w:val="ListParagraph"/>
              <w:numPr>
                <w:ilvl w:val="0"/>
                <w:numId w:val="10"/>
              </w:numPr>
              <w:rPr>
                <w:rFonts w:cstheme="minorHAnsi"/>
              </w:rPr>
            </w:pPr>
            <w:r>
              <w:rPr>
                <w:rFonts w:cstheme="minorHAnsi"/>
              </w:rPr>
              <w:t>Poem</w:t>
            </w:r>
          </w:p>
          <w:p w14:paraId="632F7115" w14:textId="77777777" w:rsidR="00D14A95" w:rsidRDefault="00D14A95" w:rsidP="0045302F">
            <w:pPr>
              <w:pStyle w:val="ListParagraph"/>
              <w:numPr>
                <w:ilvl w:val="0"/>
                <w:numId w:val="10"/>
              </w:numPr>
              <w:rPr>
                <w:rFonts w:cstheme="minorHAnsi"/>
              </w:rPr>
            </w:pPr>
            <w:r>
              <w:rPr>
                <w:rFonts w:cstheme="minorHAnsi"/>
              </w:rPr>
              <w:t>Review of possible causal diagrams</w:t>
            </w:r>
          </w:p>
          <w:p w14:paraId="2E12238C" w14:textId="77777777" w:rsidR="00D14A95" w:rsidRDefault="00D14A95" w:rsidP="0045302F">
            <w:pPr>
              <w:pStyle w:val="ListParagraph"/>
              <w:numPr>
                <w:ilvl w:val="0"/>
                <w:numId w:val="10"/>
              </w:numPr>
              <w:rPr>
                <w:rFonts w:cstheme="minorHAnsi"/>
              </w:rPr>
            </w:pPr>
            <w:r>
              <w:rPr>
                <w:rFonts w:cstheme="minorHAnsi"/>
              </w:rPr>
              <w:t>Intro to individual activity</w:t>
            </w:r>
          </w:p>
        </w:tc>
        <w:tc>
          <w:tcPr>
            <w:tcW w:w="2713" w:type="dxa"/>
          </w:tcPr>
          <w:p w14:paraId="08EA8170" w14:textId="77777777" w:rsidR="0045302F" w:rsidRDefault="00D14A95" w:rsidP="0045302F">
            <w:pPr>
              <w:rPr>
                <w:rFonts w:cstheme="minorHAnsi"/>
              </w:rPr>
            </w:pPr>
            <w:proofErr w:type="spellStart"/>
            <w:r>
              <w:rPr>
                <w:rFonts w:cstheme="minorHAnsi"/>
              </w:rPr>
              <w:t>Powerpoint</w:t>
            </w:r>
            <w:proofErr w:type="spellEnd"/>
          </w:p>
        </w:tc>
      </w:tr>
      <w:tr w:rsidR="00D14A95" w14:paraId="76204790" w14:textId="77777777" w:rsidTr="0028184F">
        <w:tc>
          <w:tcPr>
            <w:tcW w:w="1082" w:type="dxa"/>
          </w:tcPr>
          <w:p w14:paraId="34FDB866" w14:textId="77777777" w:rsidR="00D14A95" w:rsidRDefault="00831E09" w:rsidP="001D7EBA">
            <w:pPr>
              <w:rPr>
                <w:rFonts w:cstheme="minorHAnsi"/>
              </w:rPr>
            </w:pPr>
            <w:r>
              <w:rPr>
                <w:rFonts w:cstheme="minorHAnsi"/>
              </w:rPr>
              <w:t>5</w:t>
            </w:r>
            <w:r w:rsidR="00D14A95">
              <w:rPr>
                <w:rFonts w:cstheme="minorHAnsi"/>
              </w:rPr>
              <w:t xml:space="preserve"> min</w:t>
            </w:r>
          </w:p>
        </w:tc>
        <w:tc>
          <w:tcPr>
            <w:tcW w:w="1261" w:type="dxa"/>
          </w:tcPr>
          <w:p w14:paraId="0497E252" w14:textId="77777777" w:rsidR="00D14A95" w:rsidRDefault="00D14A95" w:rsidP="001D7EBA">
            <w:pPr>
              <w:rPr>
                <w:rFonts w:cstheme="minorHAnsi"/>
              </w:rPr>
            </w:pPr>
            <w:r>
              <w:rPr>
                <w:rFonts w:cstheme="minorHAnsi"/>
              </w:rPr>
              <w:t>Individual Work</w:t>
            </w:r>
          </w:p>
        </w:tc>
        <w:tc>
          <w:tcPr>
            <w:tcW w:w="8182" w:type="dxa"/>
          </w:tcPr>
          <w:p w14:paraId="51D21F48" w14:textId="77777777" w:rsidR="00D14A95" w:rsidRDefault="00D14A95" w:rsidP="00D14A95">
            <w:pPr>
              <w:pStyle w:val="ListParagraph"/>
              <w:numPr>
                <w:ilvl w:val="0"/>
                <w:numId w:val="11"/>
              </w:numPr>
              <w:rPr>
                <w:rFonts w:cstheme="minorHAnsi"/>
              </w:rPr>
            </w:pPr>
            <w:r>
              <w:rPr>
                <w:rFonts w:cstheme="minorHAnsi"/>
              </w:rPr>
              <w:t xml:space="preserve">Each individual makes a causes of causes diagram based on one of </w:t>
            </w:r>
            <w:r w:rsidR="00831E09">
              <w:rPr>
                <w:rFonts w:cstheme="minorHAnsi"/>
              </w:rPr>
              <w:t>the</w:t>
            </w:r>
            <w:r>
              <w:rPr>
                <w:rFonts w:cstheme="minorHAnsi"/>
              </w:rPr>
              <w:t xml:space="preserve"> prompts relevant to our community (individual can choose)</w:t>
            </w:r>
          </w:p>
        </w:tc>
        <w:tc>
          <w:tcPr>
            <w:tcW w:w="2713" w:type="dxa"/>
          </w:tcPr>
          <w:p w14:paraId="0506EF8B" w14:textId="77777777" w:rsidR="00D14A95" w:rsidRDefault="00D14A95" w:rsidP="0045302F">
            <w:pPr>
              <w:rPr>
                <w:rFonts w:cstheme="minorHAnsi"/>
              </w:rPr>
            </w:pPr>
            <w:r>
              <w:rPr>
                <w:rFonts w:cstheme="minorHAnsi"/>
              </w:rPr>
              <w:t>Each individual needs pen and paper</w:t>
            </w:r>
          </w:p>
        </w:tc>
      </w:tr>
      <w:tr w:rsidR="00D14A95" w14:paraId="04CBB0E3" w14:textId="77777777" w:rsidTr="0028184F">
        <w:tc>
          <w:tcPr>
            <w:tcW w:w="1082" w:type="dxa"/>
          </w:tcPr>
          <w:p w14:paraId="4F6655A0" w14:textId="77777777" w:rsidR="00D14A95" w:rsidRDefault="00D14A95" w:rsidP="001D7EBA">
            <w:pPr>
              <w:rPr>
                <w:rFonts w:cstheme="minorHAnsi"/>
              </w:rPr>
            </w:pPr>
            <w:r>
              <w:rPr>
                <w:rFonts w:cstheme="minorHAnsi"/>
              </w:rPr>
              <w:t>1</w:t>
            </w:r>
            <w:r w:rsidR="00831E09">
              <w:rPr>
                <w:rFonts w:cstheme="minorHAnsi"/>
              </w:rPr>
              <w:t>0</w:t>
            </w:r>
            <w:r>
              <w:rPr>
                <w:rFonts w:cstheme="minorHAnsi"/>
              </w:rPr>
              <w:t xml:space="preserve"> min</w:t>
            </w:r>
          </w:p>
        </w:tc>
        <w:tc>
          <w:tcPr>
            <w:tcW w:w="1261" w:type="dxa"/>
          </w:tcPr>
          <w:p w14:paraId="23EFADC6" w14:textId="77777777" w:rsidR="00D14A95" w:rsidRDefault="00D14A95" w:rsidP="001D7EBA">
            <w:pPr>
              <w:rPr>
                <w:rFonts w:cstheme="minorHAnsi"/>
              </w:rPr>
            </w:pPr>
            <w:r>
              <w:rPr>
                <w:rFonts w:cstheme="minorHAnsi"/>
              </w:rPr>
              <w:t>Return to Small Groups</w:t>
            </w:r>
          </w:p>
        </w:tc>
        <w:tc>
          <w:tcPr>
            <w:tcW w:w="8182" w:type="dxa"/>
          </w:tcPr>
          <w:p w14:paraId="3CEA45D1" w14:textId="77777777" w:rsidR="00D14A95" w:rsidRDefault="00D14A95" w:rsidP="00D14A95">
            <w:pPr>
              <w:pStyle w:val="ListParagraph"/>
              <w:numPr>
                <w:ilvl w:val="0"/>
                <w:numId w:val="12"/>
              </w:numPr>
              <w:rPr>
                <w:rFonts w:cstheme="minorHAnsi"/>
              </w:rPr>
            </w:pPr>
            <w:r>
              <w:rPr>
                <w:rFonts w:cstheme="minorHAnsi"/>
              </w:rPr>
              <w:t>Using cameras—individuals are invited to show their diagrams and discuss</w:t>
            </w:r>
          </w:p>
          <w:p w14:paraId="0285484F" w14:textId="77777777" w:rsidR="00D14A95" w:rsidRDefault="00D14A95" w:rsidP="00D14A95">
            <w:pPr>
              <w:pStyle w:val="ListParagraph"/>
              <w:numPr>
                <w:ilvl w:val="0"/>
                <w:numId w:val="12"/>
              </w:numPr>
              <w:rPr>
                <w:rFonts w:cstheme="minorHAnsi"/>
              </w:rPr>
            </w:pPr>
            <w:r>
              <w:rPr>
                <w:rFonts w:cstheme="minorHAnsi"/>
              </w:rPr>
              <w:t>Possible facilitator prompts if conversation lags:</w:t>
            </w:r>
          </w:p>
          <w:p w14:paraId="4E33A8F5" w14:textId="77777777" w:rsidR="00FE0258" w:rsidRPr="00D14A95" w:rsidRDefault="00BF1269" w:rsidP="00D14A95">
            <w:pPr>
              <w:pStyle w:val="ListParagraph"/>
              <w:numPr>
                <w:ilvl w:val="1"/>
                <w:numId w:val="12"/>
              </w:numPr>
              <w:rPr>
                <w:rFonts w:cstheme="minorHAnsi"/>
              </w:rPr>
            </w:pPr>
            <w:r w:rsidRPr="00D14A95">
              <w:rPr>
                <w:rFonts w:cstheme="minorHAnsi"/>
              </w:rPr>
              <w:t xml:space="preserve">Are there a few common root causes that are common over all or most of the diagrams? </w:t>
            </w:r>
          </w:p>
          <w:p w14:paraId="2EE5A9EE" w14:textId="77777777" w:rsidR="00FE0258" w:rsidRPr="00D14A95" w:rsidRDefault="00BF1269" w:rsidP="00D14A95">
            <w:pPr>
              <w:pStyle w:val="ListParagraph"/>
              <w:numPr>
                <w:ilvl w:val="1"/>
                <w:numId w:val="12"/>
              </w:numPr>
              <w:rPr>
                <w:rFonts w:cstheme="minorHAnsi"/>
              </w:rPr>
            </w:pPr>
            <w:r w:rsidRPr="00D14A95">
              <w:rPr>
                <w:rFonts w:cstheme="minorHAnsi"/>
              </w:rPr>
              <w:t xml:space="preserve">Are there some causes that seem more important to address than others? </w:t>
            </w:r>
            <w:r w:rsidR="00D14A95">
              <w:rPr>
                <w:rFonts w:cstheme="minorHAnsi"/>
              </w:rPr>
              <w:t>(</w:t>
            </w:r>
            <w:r w:rsidRPr="00D14A95">
              <w:rPr>
                <w:rFonts w:cstheme="minorHAnsi"/>
              </w:rPr>
              <w:t>If so, you could make those lines heavier on your diagram.</w:t>
            </w:r>
            <w:r w:rsidR="00D14A95">
              <w:rPr>
                <w:rFonts w:cstheme="minorHAnsi"/>
              </w:rPr>
              <w:t>)</w:t>
            </w:r>
          </w:p>
          <w:p w14:paraId="3BB4E1A8" w14:textId="77777777" w:rsidR="00FE0258" w:rsidRPr="00D14A95" w:rsidRDefault="00D14A95" w:rsidP="00D14A95">
            <w:pPr>
              <w:pStyle w:val="ListParagraph"/>
              <w:numPr>
                <w:ilvl w:val="1"/>
                <w:numId w:val="12"/>
              </w:numPr>
              <w:rPr>
                <w:rFonts w:cstheme="minorHAnsi"/>
              </w:rPr>
            </w:pPr>
            <w:r>
              <w:rPr>
                <w:rFonts w:cstheme="minorHAnsi"/>
              </w:rPr>
              <w:t>D</w:t>
            </w:r>
            <w:r w:rsidR="00BF1269" w:rsidRPr="00D14A95">
              <w:rPr>
                <w:rFonts w:cstheme="minorHAnsi"/>
              </w:rPr>
              <w:t xml:space="preserve">o you know if there is evidence that some root causes have more impact than others? </w:t>
            </w:r>
          </w:p>
          <w:p w14:paraId="2541CDD6" w14:textId="77777777" w:rsidR="00FE0258" w:rsidRPr="00D14A95" w:rsidRDefault="00D14A95" w:rsidP="00D14A95">
            <w:pPr>
              <w:pStyle w:val="ListParagraph"/>
              <w:numPr>
                <w:ilvl w:val="1"/>
                <w:numId w:val="12"/>
              </w:numPr>
              <w:rPr>
                <w:rFonts w:cstheme="minorHAnsi"/>
              </w:rPr>
            </w:pPr>
            <w:r>
              <w:rPr>
                <w:rFonts w:cstheme="minorHAnsi"/>
              </w:rPr>
              <w:lastRenderedPageBreak/>
              <w:t>N</w:t>
            </w:r>
            <w:r w:rsidR="00BF1269" w:rsidRPr="00D14A95">
              <w:rPr>
                <w:rFonts w:cstheme="minorHAnsi"/>
              </w:rPr>
              <w:t xml:space="preserve">ow that you think about these root causes, how has this diagramming changed your perspective on the problem you drew? </w:t>
            </w:r>
            <w:r>
              <w:rPr>
                <w:rFonts w:cstheme="minorHAnsi"/>
              </w:rPr>
              <w:t xml:space="preserve">How/when do we engage in </w:t>
            </w:r>
            <w:r w:rsidR="00BF1269" w:rsidRPr="00D14A95">
              <w:rPr>
                <w:rFonts w:cstheme="minorHAnsi"/>
              </w:rPr>
              <w:t>victim blaming</w:t>
            </w:r>
            <w:r>
              <w:rPr>
                <w:rFonts w:cstheme="minorHAnsi"/>
              </w:rPr>
              <w:t xml:space="preserve"> in medicine?</w:t>
            </w:r>
            <w:r w:rsidR="00BF1269" w:rsidRPr="00D14A95">
              <w:rPr>
                <w:rFonts w:cstheme="minorHAnsi"/>
              </w:rPr>
              <w:t xml:space="preserve"> </w:t>
            </w:r>
          </w:p>
          <w:p w14:paraId="6882627B" w14:textId="77777777" w:rsidR="00D14A95" w:rsidRPr="00D14A95" w:rsidRDefault="00D14A95" w:rsidP="00D14A95">
            <w:pPr>
              <w:pStyle w:val="ListParagraph"/>
              <w:numPr>
                <w:ilvl w:val="1"/>
                <w:numId w:val="12"/>
              </w:numPr>
              <w:rPr>
                <w:rFonts w:cstheme="minorHAnsi"/>
              </w:rPr>
            </w:pPr>
            <w:r>
              <w:rPr>
                <w:rFonts w:cstheme="minorHAnsi"/>
              </w:rPr>
              <w:t>How could you envision engaging in this sort of exercise around individual patient presentations?  How might this change the way you interact with individual patients OR with communities?</w:t>
            </w:r>
          </w:p>
        </w:tc>
        <w:tc>
          <w:tcPr>
            <w:tcW w:w="2713" w:type="dxa"/>
          </w:tcPr>
          <w:p w14:paraId="6D08FD6B" w14:textId="77777777" w:rsidR="00D14A95" w:rsidRDefault="00FD0125" w:rsidP="0045302F">
            <w:pPr>
              <w:rPr>
                <w:rFonts w:cstheme="minorHAnsi"/>
              </w:rPr>
            </w:pPr>
            <w:r>
              <w:rPr>
                <w:rFonts w:cstheme="minorHAnsi"/>
              </w:rPr>
              <w:lastRenderedPageBreak/>
              <w:t>Ability to see one another in small groups</w:t>
            </w:r>
          </w:p>
          <w:p w14:paraId="0CEEF1ED" w14:textId="77777777" w:rsidR="00FD0125" w:rsidRDefault="00FD0125" w:rsidP="0045302F">
            <w:pPr>
              <w:rPr>
                <w:rFonts w:cstheme="minorHAnsi"/>
              </w:rPr>
            </w:pPr>
            <w:r>
              <w:rPr>
                <w:rFonts w:cstheme="minorHAnsi"/>
              </w:rPr>
              <w:t>Be able to guide folks to transition from “grid view” to “speaker view” to see the person holding up their creation</w:t>
            </w:r>
          </w:p>
          <w:p w14:paraId="45C3D4E8" w14:textId="77777777" w:rsidR="00FD0125" w:rsidRDefault="00FD0125" w:rsidP="0045302F">
            <w:pPr>
              <w:rPr>
                <w:rFonts w:cstheme="minorHAnsi"/>
              </w:rPr>
            </w:pPr>
            <w:r>
              <w:rPr>
                <w:rFonts w:cstheme="minorHAnsi"/>
              </w:rPr>
              <w:t>Move to verbal description if needed</w:t>
            </w:r>
          </w:p>
        </w:tc>
      </w:tr>
      <w:tr w:rsidR="00D14A95" w14:paraId="1DDE727C" w14:textId="77777777" w:rsidTr="0028184F">
        <w:tc>
          <w:tcPr>
            <w:tcW w:w="1082" w:type="dxa"/>
          </w:tcPr>
          <w:p w14:paraId="154D9776" w14:textId="77777777" w:rsidR="00D14A95" w:rsidRDefault="00FD0125" w:rsidP="001D7EBA">
            <w:pPr>
              <w:rPr>
                <w:rFonts w:cstheme="minorHAnsi"/>
              </w:rPr>
            </w:pPr>
            <w:r>
              <w:rPr>
                <w:rFonts w:cstheme="minorHAnsi"/>
              </w:rPr>
              <w:t>5</w:t>
            </w:r>
          </w:p>
        </w:tc>
        <w:tc>
          <w:tcPr>
            <w:tcW w:w="1261" w:type="dxa"/>
          </w:tcPr>
          <w:p w14:paraId="5CB836AC" w14:textId="52B3B9DA" w:rsidR="00D14A95" w:rsidRDefault="00D14A95" w:rsidP="001D7EBA">
            <w:pPr>
              <w:rPr>
                <w:rFonts w:cstheme="minorHAnsi"/>
              </w:rPr>
            </w:pPr>
            <w:r>
              <w:rPr>
                <w:rFonts w:cstheme="minorHAnsi"/>
              </w:rPr>
              <w:t>Wrap Up</w:t>
            </w:r>
            <w:r w:rsidR="005F4001">
              <w:rPr>
                <w:rFonts w:cstheme="minorHAnsi"/>
              </w:rPr>
              <w:t xml:space="preserve"> </w:t>
            </w:r>
            <w:r w:rsidR="00DD1912">
              <w:rPr>
                <w:rFonts w:cstheme="minorHAnsi"/>
              </w:rPr>
              <w:t>PowerPoint</w:t>
            </w:r>
          </w:p>
        </w:tc>
        <w:tc>
          <w:tcPr>
            <w:tcW w:w="8182" w:type="dxa"/>
          </w:tcPr>
          <w:p w14:paraId="22165627" w14:textId="77777777" w:rsidR="00D14A95" w:rsidRDefault="00D14A95" w:rsidP="00831E09">
            <w:pPr>
              <w:pStyle w:val="ListParagraph"/>
              <w:numPr>
                <w:ilvl w:val="0"/>
                <w:numId w:val="14"/>
              </w:numPr>
              <w:rPr>
                <w:rFonts w:cstheme="minorHAnsi"/>
              </w:rPr>
            </w:pPr>
            <w:r>
              <w:rPr>
                <w:rFonts w:cstheme="minorHAnsi"/>
              </w:rPr>
              <w:t>Acknowledgement</w:t>
            </w:r>
            <w:r w:rsidR="005F4001">
              <w:rPr>
                <w:rFonts w:cstheme="minorHAnsi"/>
              </w:rPr>
              <w:t xml:space="preserve"> of the difficulty of this work</w:t>
            </w:r>
          </w:p>
          <w:p w14:paraId="4DF3DEB3" w14:textId="77777777" w:rsidR="00831E09" w:rsidRDefault="00831E09" w:rsidP="00831E09">
            <w:pPr>
              <w:pStyle w:val="ListParagraph"/>
              <w:numPr>
                <w:ilvl w:val="0"/>
                <w:numId w:val="14"/>
              </w:numPr>
              <w:rPr>
                <w:rFonts w:cstheme="minorHAnsi"/>
              </w:rPr>
            </w:pPr>
            <w:r>
              <w:rPr>
                <w:rFonts w:cstheme="minorHAnsi"/>
              </w:rPr>
              <w:t>Encourage to sit in discomfort</w:t>
            </w:r>
          </w:p>
          <w:p w14:paraId="1FB34C46" w14:textId="77777777" w:rsidR="00831E09" w:rsidRDefault="00831E09" w:rsidP="00831E09">
            <w:pPr>
              <w:pStyle w:val="ListParagraph"/>
              <w:numPr>
                <w:ilvl w:val="0"/>
                <w:numId w:val="14"/>
              </w:numPr>
              <w:rPr>
                <w:rFonts w:cstheme="minorHAnsi"/>
              </w:rPr>
            </w:pPr>
            <w:r>
              <w:rPr>
                <w:rFonts w:cstheme="minorHAnsi"/>
              </w:rPr>
              <w:t>Link to rotations</w:t>
            </w:r>
          </w:p>
          <w:p w14:paraId="3C81EBB4" w14:textId="77777777" w:rsidR="00831E09" w:rsidRDefault="00831E09" w:rsidP="00831E09">
            <w:pPr>
              <w:pStyle w:val="ListParagraph"/>
              <w:numPr>
                <w:ilvl w:val="1"/>
                <w:numId w:val="14"/>
              </w:numPr>
              <w:rPr>
                <w:rFonts w:cstheme="minorHAnsi"/>
              </w:rPr>
            </w:pPr>
            <w:r>
              <w:rPr>
                <w:rFonts w:cstheme="minorHAnsi"/>
              </w:rPr>
              <w:t>Newborn nursery</w:t>
            </w:r>
          </w:p>
          <w:p w14:paraId="5F3C1CCC" w14:textId="77777777" w:rsidR="00831E09" w:rsidRDefault="00831E09" w:rsidP="00831E09">
            <w:pPr>
              <w:pStyle w:val="ListParagraph"/>
              <w:numPr>
                <w:ilvl w:val="1"/>
                <w:numId w:val="14"/>
              </w:numPr>
              <w:rPr>
                <w:rFonts w:cstheme="minorHAnsi"/>
              </w:rPr>
            </w:pPr>
            <w:r>
              <w:rPr>
                <w:rFonts w:cstheme="minorHAnsi"/>
              </w:rPr>
              <w:t>CPAX</w:t>
            </w:r>
          </w:p>
          <w:p w14:paraId="2029B818" w14:textId="77777777" w:rsidR="00831E09" w:rsidRDefault="00831E09" w:rsidP="00831E09">
            <w:pPr>
              <w:pStyle w:val="ListParagraph"/>
              <w:numPr>
                <w:ilvl w:val="1"/>
                <w:numId w:val="14"/>
              </w:numPr>
              <w:rPr>
                <w:rFonts w:cstheme="minorHAnsi"/>
              </w:rPr>
            </w:pPr>
            <w:r>
              <w:rPr>
                <w:rFonts w:cstheme="minorHAnsi"/>
              </w:rPr>
              <w:t>Patients you see every day</w:t>
            </w:r>
          </w:p>
          <w:p w14:paraId="7B883F77" w14:textId="77777777" w:rsidR="00831E09" w:rsidRPr="00831E09" w:rsidRDefault="00831E09" w:rsidP="00831E09">
            <w:pPr>
              <w:pStyle w:val="ListParagraph"/>
              <w:numPr>
                <w:ilvl w:val="1"/>
                <w:numId w:val="14"/>
              </w:numPr>
              <w:rPr>
                <w:rFonts w:cstheme="minorHAnsi"/>
              </w:rPr>
            </w:pPr>
            <w:r>
              <w:rPr>
                <w:rFonts w:cstheme="minorHAnsi"/>
              </w:rPr>
              <w:t>Power of listening, understanding</w:t>
            </w:r>
          </w:p>
        </w:tc>
        <w:tc>
          <w:tcPr>
            <w:tcW w:w="2713" w:type="dxa"/>
          </w:tcPr>
          <w:p w14:paraId="34F7B4C3" w14:textId="6411E567" w:rsidR="00D14A95" w:rsidRDefault="00DD1912" w:rsidP="0045302F">
            <w:pPr>
              <w:rPr>
                <w:rFonts w:cstheme="minorHAnsi"/>
              </w:rPr>
            </w:pPr>
            <w:r>
              <w:rPr>
                <w:rFonts w:cstheme="minorHAnsi"/>
              </w:rPr>
              <w:t>PowerPoint</w:t>
            </w:r>
          </w:p>
        </w:tc>
      </w:tr>
    </w:tbl>
    <w:p w14:paraId="79DACA1F" w14:textId="77777777" w:rsidR="00EE6C86" w:rsidRPr="00F20AD5" w:rsidRDefault="00EE6C86">
      <w:pPr>
        <w:rPr>
          <w:rFonts w:cstheme="minorHAnsi"/>
        </w:rPr>
      </w:pPr>
    </w:p>
    <w:sectPr w:rsidR="00EE6C86" w:rsidRPr="00F20AD5" w:rsidSect="0028184F">
      <w:pgSz w:w="15840" w:h="12240" w:orient="landscape"/>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C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F92CE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7102FB"/>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AE286C"/>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8651D1"/>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40AE4"/>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C8224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EC243E"/>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0145EF3"/>
    <w:multiLevelType w:val="hybridMultilevel"/>
    <w:tmpl w:val="4F2EF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7873B6"/>
    <w:multiLevelType w:val="hybridMultilevel"/>
    <w:tmpl w:val="A452579C"/>
    <w:lvl w:ilvl="0" w:tplc="92D8EB6A">
      <w:start w:val="1"/>
      <w:numFmt w:val="bullet"/>
      <w:lvlText w:val="•"/>
      <w:lvlJc w:val="left"/>
      <w:pPr>
        <w:tabs>
          <w:tab w:val="num" w:pos="720"/>
        </w:tabs>
        <w:ind w:left="720" w:hanging="360"/>
      </w:pPr>
      <w:rPr>
        <w:rFonts w:ascii="Arial" w:hAnsi="Arial" w:hint="default"/>
      </w:rPr>
    </w:lvl>
    <w:lvl w:ilvl="1" w:tplc="EC02A6BA" w:tentative="1">
      <w:start w:val="1"/>
      <w:numFmt w:val="bullet"/>
      <w:lvlText w:val="•"/>
      <w:lvlJc w:val="left"/>
      <w:pPr>
        <w:tabs>
          <w:tab w:val="num" w:pos="1440"/>
        </w:tabs>
        <w:ind w:left="1440" w:hanging="360"/>
      </w:pPr>
      <w:rPr>
        <w:rFonts w:ascii="Arial" w:hAnsi="Arial" w:hint="default"/>
      </w:rPr>
    </w:lvl>
    <w:lvl w:ilvl="2" w:tplc="DA4C1346" w:tentative="1">
      <w:start w:val="1"/>
      <w:numFmt w:val="bullet"/>
      <w:lvlText w:val="•"/>
      <w:lvlJc w:val="left"/>
      <w:pPr>
        <w:tabs>
          <w:tab w:val="num" w:pos="2160"/>
        </w:tabs>
        <w:ind w:left="2160" w:hanging="360"/>
      </w:pPr>
      <w:rPr>
        <w:rFonts w:ascii="Arial" w:hAnsi="Arial" w:hint="default"/>
      </w:rPr>
    </w:lvl>
    <w:lvl w:ilvl="3" w:tplc="E67C9F2A" w:tentative="1">
      <w:start w:val="1"/>
      <w:numFmt w:val="bullet"/>
      <w:lvlText w:val="•"/>
      <w:lvlJc w:val="left"/>
      <w:pPr>
        <w:tabs>
          <w:tab w:val="num" w:pos="2880"/>
        </w:tabs>
        <w:ind w:left="2880" w:hanging="360"/>
      </w:pPr>
      <w:rPr>
        <w:rFonts w:ascii="Arial" w:hAnsi="Arial" w:hint="default"/>
      </w:rPr>
    </w:lvl>
    <w:lvl w:ilvl="4" w:tplc="8A44EC34" w:tentative="1">
      <w:start w:val="1"/>
      <w:numFmt w:val="bullet"/>
      <w:lvlText w:val="•"/>
      <w:lvlJc w:val="left"/>
      <w:pPr>
        <w:tabs>
          <w:tab w:val="num" w:pos="3600"/>
        </w:tabs>
        <w:ind w:left="3600" w:hanging="360"/>
      </w:pPr>
      <w:rPr>
        <w:rFonts w:ascii="Arial" w:hAnsi="Arial" w:hint="default"/>
      </w:rPr>
    </w:lvl>
    <w:lvl w:ilvl="5" w:tplc="3D28AB98" w:tentative="1">
      <w:start w:val="1"/>
      <w:numFmt w:val="bullet"/>
      <w:lvlText w:val="•"/>
      <w:lvlJc w:val="left"/>
      <w:pPr>
        <w:tabs>
          <w:tab w:val="num" w:pos="4320"/>
        </w:tabs>
        <w:ind w:left="4320" w:hanging="360"/>
      </w:pPr>
      <w:rPr>
        <w:rFonts w:ascii="Arial" w:hAnsi="Arial" w:hint="default"/>
      </w:rPr>
    </w:lvl>
    <w:lvl w:ilvl="6" w:tplc="75048336" w:tentative="1">
      <w:start w:val="1"/>
      <w:numFmt w:val="bullet"/>
      <w:lvlText w:val="•"/>
      <w:lvlJc w:val="left"/>
      <w:pPr>
        <w:tabs>
          <w:tab w:val="num" w:pos="5040"/>
        </w:tabs>
        <w:ind w:left="5040" w:hanging="360"/>
      </w:pPr>
      <w:rPr>
        <w:rFonts w:ascii="Arial" w:hAnsi="Arial" w:hint="default"/>
      </w:rPr>
    </w:lvl>
    <w:lvl w:ilvl="7" w:tplc="148CA960" w:tentative="1">
      <w:start w:val="1"/>
      <w:numFmt w:val="bullet"/>
      <w:lvlText w:val="•"/>
      <w:lvlJc w:val="left"/>
      <w:pPr>
        <w:tabs>
          <w:tab w:val="num" w:pos="5760"/>
        </w:tabs>
        <w:ind w:left="5760" w:hanging="360"/>
      </w:pPr>
      <w:rPr>
        <w:rFonts w:ascii="Arial" w:hAnsi="Arial" w:hint="default"/>
      </w:rPr>
    </w:lvl>
    <w:lvl w:ilvl="8" w:tplc="4BE025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877B6D"/>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C73369"/>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4372276"/>
    <w:multiLevelType w:val="multilevel"/>
    <w:tmpl w:val="3202CB8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C9A6202"/>
    <w:multiLevelType w:val="hybridMultilevel"/>
    <w:tmpl w:val="4F2EFD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69492640">
    <w:abstractNumId w:val="7"/>
  </w:num>
  <w:num w:numId="2" w16cid:durableId="1071656235">
    <w:abstractNumId w:val="12"/>
  </w:num>
  <w:num w:numId="3" w16cid:durableId="1299645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37820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154143">
    <w:abstractNumId w:val="6"/>
  </w:num>
  <w:num w:numId="6" w16cid:durableId="1117603248">
    <w:abstractNumId w:val="5"/>
  </w:num>
  <w:num w:numId="7" w16cid:durableId="918439665">
    <w:abstractNumId w:val="0"/>
  </w:num>
  <w:num w:numId="8" w16cid:durableId="1981960972">
    <w:abstractNumId w:val="2"/>
  </w:num>
  <w:num w:numId="9" w16cid:durableId="585962745">
    <w:abstractNumId w:val="11"/>
  </w:num>
  <w:num w:numId="10" w16cid:durableId="622540472">
    <w:abstractNumId w:val="1"/>
  </w:num>
  <w:num w:numId="11" w16cid:durableId="1620137039">
    <w:abstractNumId w:val="3"/>
  </w:num>
  <w:num w:numId="12" w16cid:durableId="399183036">
    <w:abstractNumId w:val="4"/>
  </w:num>
  <w:num w:numId="13" w16cid:durableId="381292545">
    <w:abstractNumId w:val="9"/>
  </w:num>
  <w:num w:numId="14" w16cid:durableId="1030304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D5"/>
    <w:rsid w:val="000019B5"/>
    <w:rsid w:val="00004D93"/>
    <w:rsid w:val="000B7F1F"/>
    <w:rsid w:val="001D7EBA"/>
    <w:rsid w:val="002129AD"/>
    <w:rsid w:val="0028184F"/>
    <w:rsid w:val="0045302F"/>
    <w:rsid w:val="00587549"/>
    <w:rsid w:val="005B41CA"/>
    <w:rsid w:val="005F4001"/>
    <w:rsid w:val="006557A8"/>
    <w:rsid w:val="00676C27"/>
    <w:rsid w:val="00711DE5"/>
    <w:rsid w:val="0073364E"/>
    <w:rsid w:val="00831E09"/>
    <w:rsid w:val="009341D3"/>
    <w:rsid w:val="00A2698B"/>
    <w:rsid w:val="00A64921"/>
    <w:rsid w:val="00B4574D"/>
    <w:rsid w:val="00BD3DEC"/>
    <w:rsid w:val="00BF1269"/>
    <w:rsid w:val="00BF4BE7"/>
    <w:rsid w:val="00C660ED"/>
    <w:rsid w:val="00D14A95"/>
    <w:rsid w:val="00D662DC"/>
    <w:rsid w:val="00DA241E"/>
    <w:rsid w:val="00DD1912"/>
    <w:rsid w:val="00EE6C86"/>
    <w:rsid w:val="00F20AD5"/>
    <w:rsid w:val="00F71739"/>
    <w:rsid w:val="00FD0125"/>
    <w:rsid w:val="00FD69B7"/>
    <w:rsid w:val="00FE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1B7"/>
  <w15:chartTrackingRefBased/>
  <w15:docId w15:val="{6161A7A2-040D-4B1D-9F47-5E4AB013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AD5"/>
    <w:pPr>
      <w:ind w:left="720"/>
      <w:contextualSpacing/>
    </w:pPr>
  </w:style>
  <w:style w:type="character" w:styleId="Hyperlink">
    <w:name w:val="Hyperlink"/>
    <w:basedOn w:val="DefaultParagraphFont"/>
    <w:uiPriority w:val="99"/>
    <w:unhideWhenUsed/>
    <w:rsid w:val="00F20AD5"/>
    <w:rPr>
      <w:color w:val="0563C1" w:themeColor="hyperlink"/>
      <w:u w:val="single"/>
    </w:rPr>
  </w:style>
  <w:style w:type="character" w:styleId="FollowedHyperlink">
    <w:name w:val="FollowedHyperlink"/>
    <w:basedOn w:val="DefaultParagraphFont"/>
    <w:uiPriority w:val="99"/>
    <w:semiHidden/>
    <w:unhideWhenUsed/>
    <w:rsid w:val="00F20AD5"/>
    <w:rPr>
      <w:color w:val="954F72" w:themeColor="followedHyperlink"/>
      <w:u w:val="single"/>
    </w:rPr>
  </w:style>
  <w:style w:type="character" w:styleId="UnresolvedMention">
    <w:name w:val="Unresolved Mention"/>
    <w:basedOn w:val="DefaultParagraphFont"/>
    <w:uiPriority w:val="99"/>
    <w:semiHidden/>
    <w:unhideWhenUsed/>
    <w:rsid w:val="00F20AD5"/>
    <w:rPr>
      <w:color w:val="605E5C"/>
      <w:shd w:val="clear" w:color="auto" w:fill="E1DFDD"/>
    </w:rPr>
  </w:style>
  <w:style w:type="table" w:styleId="TableGrid">
    <w:name w:val="Table Grid"/>
    <w:basedOn w:val="TableNormal"/>
    <w:uiPriority w:val="39"/>
    <w:rsid w:val="001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4BE7"/>
    <w:rPr>
      <w:sz w:val="16"/>
      <w:szCs w:val="16"/>
    </w:rPr>
  </w:style>
  <w:style w:type="paragraph" w:styleId="CommentText">
    <w:name w:val="annotation text"/>
    <w:basedOn w:val="Normal"/>
    <w:link w:val="CommentTextChar"/>
    <w:uiPriority w:val="99"/>
    <w:semiHidden/>
    <w:unhideWhenUsed/>
    <w:rsid w:val="00BF4BE7"/>
    <w:pPr>
      <w:spacing w:line="240" w:lineRule="auto"/>
    </w:pPr>
    <w:rPr>
      <w:sz w:val="20"/>
      <w:szCs w:val="20"/>
    </w:rPr>
  </w:style>
  <w:style w:type="character" w:customStyle="1" w:styleId="CommentTextChar">
    <w:name w:val="Comment Text Char"/>
    <w:basedOn w:val="DefaultParagraphFont"/>
    <w:link w:val="CommentText"/>
    <w:uiPriority w:val="99"/>
    <w:semiHidden/>
    <w:rsid w:val="00BF4BE7"/>
    <w:rPr>
      <w:sz w:val="20"/>
      <w:szCs w:val="20"/>
    </w:rPr>
  </w:style>
  <w:style w:type="paragraph" w:styleId="CommentSubject">
    <w:name w:val="annotation subject"/>
    <w:basedOn w:val="CommentText"/>
    <w:next w:val="CommentText"/>
    <w:link w:val="CommentSubjectChar"/>
    <w:uiPriority w:val="99"/>
    <w:semiHidden/>
    <w:unhideWhenUsed/>
    <w:rsid w:val="00BF4BE7"/>
    <w:rPr>
      <w:b/>
      <w:bCs/>
    </w:rPr>
  </w:style>
  <w:style w:type="character" w:customStyle="1" w:styleId="CommentSubjectChar">
    <w:name w:val="Comment Subject Char"/>
    <w:basedOn w:val="CommentTextChar"/>
    <w:link w:val="CommentSubject"/>
    <w:uiPriority w:val="99"/>
    <w:semiHidden/>
    <w:rsid w:val="00BF4BE7"/>
    <w:rPr>
      <w:b/>
      <w:bCs/>
      <w:sz w:val="20"/>
      <w:szCs w:val="20"/>
    </w:rPr>
  </w:style>
  <w:style w:type="paragraph" w:styleId="BalloonText">
    <w:name w:val="Balloon Text"/>
    <w:basedOn w:val="Normal"/>
    <w:link w:val="BalloonTextChar"/>
    <w:uiPriority w:val="99"/>
    <w:semiHidden/>
    <w:unhideWhenUsed/>
    <w:rsid w:val="00711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917990">
      <w:bodyDiv w:val="1"/>
      <w:marLeft w:val="0"/>
      <w:marRight w:val="0"/>
      <w:marTop w:val="0"/>
      <w:marBottom w:val="0"/>
      <w:divBdr>
        <w:top w:val="none" w:sz="0" w:space="0" w:color="auto"/>
        <w:left w:val="none" w:sz="0" w:space="0" w:color="auto"/>
        <w:bottom w:val="none" w:sz="0" w:space="0" w:color="auto"/>
        <w:right w:val="none" w:sz="0" w:space="0" w:color="auto"/>
      </w:divBdr>
      <w:divsChild>
        <w:div w:id="1128428920">
          <w:marLeft w:val="360"/>
          <w:marRight w:val="0"/>
          <w:marTop w:val="200"/>
          <w:marBottom w:val="0"/>
          <w:divBdr>
            <w:top w:val="none" w:sz="0" w:space="0" w:color="auto"/>
            <w:left w:val="none" w:sz="0" w:space="0" w:color="auto"/>
            <w:bottom w:val="none" w:sz="0" w:space="0" w:color="auto"/>
            <w:right w:val="none" w:sz="0" w:space="0" w:color="auto"/>
          </w:divBdr>
        </w:div>
        <w:div w:id="92940861">
          <w:marLeft w:val="360"/>
          <w:marRight w:val="0"/>
          <w:marTop w:val="200"/>
          <w:marBottom w:val="0"/>
          <w:divBdr>
            <w:top w:val="none" w:sz="0" w:space="0" w:color="auto"/>
            <w:left w:val="none" w:sz="0" w:space="0" w:color="auto"/>
            <w:bottom w:val="none" w:sz="0" w:space="0" w:color="auto"/>
            <w:right w:val="none" w:sz="0" w:space="0" w:color="auto"/>
          </w:divBdr>
        </w:div>
        <w:div w:id="80953127">
          <w:marLeft w:val="360"/>
          <w:marRight w:val="0"/>
          <w:marTop w:val="200"/>
          <w:marBottom w:val="0"/>
          <w:divBdr>
            <w:top w:val="none" w:sz="0" w:space="0" w:color="auto"/>
            <w:left w:val="none" w:sz="0" w:space="0" w:color="auto"/>
            <w:bottom w:val="none" w:sz="0" w:space="0" w:color="auto"/>
            <w:right w:val="none" w:sz="0" w:space="0" w:color="auto"/>
          </w:divBdr>
        </w:div>
        <w:div w:id="1405106133">
          <w:marLeft w:val="360"/>
          <w:marRight w:val="0"/>
          <w:marTop w:val="200"/>
          <w:marBottom w:val="0"/>
          <w:divBdr>
            <w:top w:val="none" w:sz="0" w:space="0" w:color="auto"/>
            <w:left w:val="none" w:sz="0" w:space="0" w:color="auto"/>
            <w:bottom w:val="none" w:sz="0" w:space="0" w:color="auto"/>
            <w:right w:val="none" w:sz="0" w:space="0" w:color="auto"/>
          </w:divBdr>
        </w:div>
        <w:div w:id="631249974">
          <w:marLeft w:val="360"/>
          <w:marRight w:val="0"/>
          <w:marTop w:val="200"/>
          <w:marBottom w:val="0"/>
          <w:divBdr>
            <w:top w:val="none" w:sz="0" w:space="0" w:color="auto"/>
            <w:left w:val="none" w:sz="0" w:space="0" w:color="auto"/>
            <w:bottom w:val="none" w:sz="0" w:space="0" w:color="auto"/>
            <w:right w:val="none" w:sz="0" w:space="0" w:color="auto"/>
          </w:divBdr>
        </w:div>
        <w:div w:id="758260854">
          <w:marLeft w:val="360"/>
          <w:marRight w:val="0"/>
          <w:marTop w:val="200"/>
          <w:marBottom w:val="0"/>
          <w:divBdr>
            <w:top w:val="none" w:sz="0" w:space="0" w:color="auto"/>
            <w:left w:val="none" w:sz="0" w:space="0" w:color="auto"/>
            <w:bottom w:val="none" w:sz="0" w:space="0" w:color="auto"/>
            <w:right w:val="none" w:sz="0" w:space="0" w:color="auto"/>
          </w:divBdr>
        </w:div>
      </w:divsChild>
    </w:div>
    <w:div w:id="191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2o-yD0wGx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PKKQnijns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9447F-2737-C341-B007-966CB98C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BREANNA MARIE PORTALE</cp:lastModifiedBy>
  <cp:revision>12</cp:revision>
  <dcterms:created xsi:type="dcterms:W3CDTF">2021-12-09T18:17:00Z</dcterms:created>
  <dcterms:modified xsi:type="dcterms:W3CDTF">2022-06-30T20:56:00Z</dcterms:modified>
</cp:coreProperties>
</file>