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9DB4" w14:textId="27F32322" w:rsidR="008045CE" w:rsidRPr="00F20AD5" w:rsidRDefault="00D92F05" w:rsidP="008045CE">
      <w:pPr>
        <w:rPr>
          <w:b/>
        </w:rPr>
      </w:pPr>
      <w:r>
        <w:rPr>
          <w:b/>
        </w:rPr>
        <w:t>Intern Orientation: Introduction, Institutional Policies, Microaggressions Intro</w:t>
      </w:r>
    </w:p>
    <w:p w14:paraId="0A4DB220" w14:textId="77777777" w:rsidR="008045CE" w:rsidRPr="00F20AD5" w:rsidRDefault="008045CE" w:rsidP="008045CE">
      <w:pPr>
        <w:rPr>
          <w:rFonts w:cstheme="minorHAnsi"/>
        </w:rPr>
      </w:pPr>
      <w:r w:rsidRPr="00F20AD5">
        <w:rPr>
          <w:rFonts w:cstheme="minorHAnsi"/>
          <w:i/>
          <w:u w:val="single"/>
        </w:rPr>
        <w:t>Objectives:</w:t>
      </w:r>
      <w:r w:rsidRPr="00F20AD5">
        <w:rPr>
          <w:rFonts w:cstheme="minorHAnsi"/>
        </w:rPr>
        <w:t xml:space="preserve"> </w:t>
      </w:r>
    </w:p>
    <w:p w14:paraId="61B71DC9" w14:textId="77777777" w:rsidR="008045CE" w:rsidRPr="00891EFF" w:rsidRDefault="008045CE" w:rsidP="008045CE">
      <w:pPr>
        <w:rPr>
          <w:rFonts w:cstheme="minorHAnsi"/>
        </w:rPr>
      </w:pPr>
      <w:r w:rsidRPr="00891EFF">
        <w:rPr>
          <w:rFonts w:cstheme="minorHAnsi"/>
        </w:rPr>
        <w:t>Following completion of this session, learners will be able to:</w:t>
      </w:r>
    </w:p>
    <w:p w14:paraId="4FC74A35" w14:textId="12C08485" w:rsidR="00E102F3" w:rsidRPr="00676EC7" w:rsidRDefault="00676EC7" w:rsidP="00676EC7">
      <w:pPr>
        <w:pStyle w:val="ListParagraph"/>
        <w:numPr>
          <w:ilvl w:val="0"/>
          <w:numId w:val="14"/>
        </w:numPr>
        <w:spacing w:before="100" w:beforeAutospacing="1" w:after="100" w:afterAutospacing="1" w:line="240" w:lineRule="auto"/>
        <w:rPr>
          <w:rFonts w:eastAsia="Times New Roman" w:cs="Times New Roman"/>
        </w:rPr>
      </w:pPr>
      <w:r w:rsidRPr="00676EC7">
        <w:rPr>
          <w:rFonts w:eastAsia="Times New Roman" w:cs="Times New Roman"/>
        </w:rPr>
        <w:t>Describe the basic content and structure of the Education for CHANGE curriculum</w:t>
      </w:r>
    </w:p>
    <w:p w14:paraId="255934FB" w14:textId="77777777" w:rsidR="00676EC7" w:rsidRPr="00676EC7" w:rsidRDefault="00676EC7" w:rsidP="00676EC7">
      <w:pPr>
        <w:pStyle w:val="NoSpacing"/>
        <w:numPr>
          <w:ilvl w:val="0"/>
          <w:numId w:val="14"/>
        </w:numPr>
        <w:rPr>
          <w:sz w:val="24"/>
          <w:szCs w:val="24"/>
        </w:rPr>
      </w:pPr>
      <w:r w:rsidRPr="00676EC7">
        <w:rPr>
          <w:sz w:val="24"/>
          <w:szCs w:val="24"/>
        </w:rPr>
        <w:t>Define microaggressions</w:t>
      </w:r>
    </w:p>
    <w:p w14:paraId="6A523A5A" w14:textId="77777777" w:rsidR="00676EC7" w:rsidRPr="00676EC7" w:rsidRDefault="00676EC7" w:rsidP="00676EC7">
      <w:pPr>
        <w:pStyle w:val="NoSpacing"/>
        <w:numPr>
          <w:ilvl w:val="0"/>
          <w:numId w:val="14"/>
        </w:numPr>
        <w:rPr>
          <w:sz w:val="24"/>
          <w:szCs w:val="24"/>
        </w:rPr>
      </w:pPr>
      <w:r w:rsidRPr="00676EC7">
        <w:rPr>
          <w:sz w:val="24"/>
          <w:szCs w:val="24"/>
        </w:rPr>
        <w:t>Describe the impact of microaggressions on individuals experiencing them</w:t>
      </w:r>
    </w:p>
    <w:p w14:paraId="6F957F3C" w14:textId="77777777" w:rsidR="00676EC7" w:rsidRPr="00676EC7" w:rsidRDefault="00676EC7" w:rsidP="00676EC7">
      <w:pPr>
        <w:pStyle w:val="NoSpacing"/>
        <w:numPr>
          <w:ilvl w:val="0"/>
          <w:numId w:val="14"/>
        </w:numPr>
        <w:rPr>
          <w:sz w:val="24"/>
          <w:szCs w:val="24"/>
        </w:rPr>
      </w:pPr>
      <w:r w:rsidRPr="00676EC7">
        <w:rPr>
          <w:sz w:val="24"/>
          <w:szCs w:val="24"/>
        </w:rPr>
        <w:t>Identify common microaggressions</w:t>
      </w:r>
    </w:p>
    <w:p w14:paraId="7EA89B42" w14:textId="64039924" w:rsidR="00676EC7" w:rsidRPr="00676EC7" w:rsidRDefault="00676EC7" w:rsidP="00676EC7">
      <w:pPr>
        <w:pStyle w:val="NoSpacing"/>
        <w:numPr>
          <w:ilvl w:val="0"/>
          <w:numId w:val="14"/>
        </w:numPr>
        <w:rPr>
          <w:sz w:val="24"/>
          <w:szCs w:val="24"/>
        </w:rPr>
      </w:pPr>
      <w:r w:rsidRPr="00676EC7">
        <w:rPr>
          <w:sz w:val="24"/>
          <w:szCs w:val="24"/>
        </w:rPr>
        <w:t>Practice responding to microaggressions, in a low-stakes environment</w:t>
      </w:r>
    </w:p>
    <w:p w14:paraId="2B76A334" w14:textId="77777777" w:rsidR="008045CE" w:rsidRPr="00FF4DFB" w:rsidRDefault="008045CE" w:rsidP="00FF4DFB">
      <w:pPr>
        <w:spacing w:before="100" w:beforeAutospacing="1" w:after="100" w:afterAutospacing="1" w:line="240" w:lineRule="auto"/>
        <w:rPr>
          <w:rFonts w:cstheme="minorHAnsi"/>
          <w:i/>
          <w:u w:val="single"/>
        </w:rPr>
      </w:pPr>
      <w:r w:rsidRPr="00FF4DFB">
        <w:rPr>
          <w:rFonts w:cstheme="minorHAnsi"/>
          <w:i/>
          <w:u w:val="single"/>
        </w:rPr>
        <w:t>Preparatory Work:</w:t>
      </w:r>
    </w:p>
    <w:p w14:paraId="015FD477" w14:textId="77777777" w:rsidR="008045CE" w:rsidRPr="00891EFF" w:rsidRDefault="008045CE" w:rsidP="008045CE">
      <w:pPr>
        <w:rPr>
          <w:rFonts w:cstheme="minorHAnsi"/>
        </w:rPr>
      </w:pPr>
      <w:r w:rsidRPr="00891EFF">
        <w:rPr>
          <w:rFonts w:cstheme="minorHAnsi"/>
        </w:rPr>
        <w:t>Prior to attending the session, learners have been asked to:</w:t>
      </w:r>
    </w:p>
    <w:p w14:paraId="5FED460C" w14:textId="436A62E9" w:rsidR="00E102F3" w:rsidRPr="004D629D" w:rsidRDefault="00880181" w:rsidP="00BB123F">
      <w:pPr>
        <w:pStyle w:val="ListParagraph"/>
        <w:numPr>
          <w:ilvl w:val="0"/>
          <w:numId w:val="4"/>
        </w:numPr>
        <w:rPr>
          <w:rFonts w:cstheme="minorHAnsi"/>
        </w:rPr>
      </w:pPr>
      <w:r w:rsidRPr="004D629D">
        <w:rPr>
          <w:rFonts w:cstheme="minorHAnsi"/>
        </w:rPr>
        <w:t>None</w:t>
      </w:r>
    </w:p>
    <w:p w14:paraId="2CA520CA" w14:textId="77777777" w:rsidR="00E102F3" w:rsidRPr="00E102F3" w:rsidRDefault="00E102F3" w:rsidP="00E102F3">
      <w:pPr>
        <w:pStyle w:val="ListParagraph"/>
        <w:rPr>
          <w:rFonts w:cstheme="minorHAnsi"/>
        </w:rPr>
      </w:pPr>
    </w:p>
    <w:p w14:paraId="55E7A479" w14:textId="77777777" w:rsidR="008045CE" w:rsidRDefault="008045CE" w:rsidP="008045CE">
      <w:pPr>
        <w:rPr>
          <w:rFonts w:cstheme="minorHAnsi"/>
          <w:i/>
          <w:u w:val="single"/>
        </w:rPr>
      </w:pPr>
      <w:r>
        <w:rPr>
          <w:rFonts w:cstheme="minorHAnsi"/>
          <w:i/>
          <w:u w:val="single"/>
        </w:rPr>
        <w:t>In Session Facilitator Guide</w:t>
      </w:r>
    </w:p>
    <w:p w14:paraId="329D8D8D" w14:textId="63615484" w:rsidR="004D2032" w:rsidRPr="004D2032" w:rsidRDefault="004D2032" w:rsidP="008045CE">
      <w:pPr>
        <w:rPr>
          <w:rFonts w:cstheme="minorHAnsi"/>
          <w:b/>
        </w:rPr>
      </w:pPr>
      <w:r>
        <w:rPr>
          <w:rFonts w:cstheme="minorHAnsi"/>
        </w:rPr>
        <w:t xml:space="preserve">Note to facilitator: the times are listed as approximate guides to help keep on track.  </w:t>
      </w:r>
    </w:p>
    <w:tbl>
      <w:tblPr>
        <w:tblStyle w:val="TableGrid"/>
        <w:tblW w:w="12415" w:type="dxa"/>
        <w:tblLayout w:type="fixed"/>
        <w:tblLook w:val="04A0" w:firstRow="1" w:lastRow="0" w:firstColumn="1" w:lastColumn="0" w:noHBand="0" w:noVBand="1"/>
      </w:tblPr>
      <w:tblGrid>
        <w:gridCol w:w="1027"/>
        <w:gridCol w:w="1420"/>
        <w:gridCol w:w="8438"/>
        <w:gridCol w:w="1530"/>
      </w:tblGrid>
      <w:tr w:rsidR="00832DF8" w14:paraId="7A994E88" w14:textId="77777777" w:rsidTr="00832DF8">
        <w:tc>
          <w:tcPr>
            <w:tcW w:w="1027" w:type="dxa"/>
          </w:tcPr>
          <w:p w14:paraId="614C1AA9" w14:textId="77777777" w:rsidR="00832DF8" w:rsidRPr="001D7EBA" w:rsidRDefault="00832DF8" w:rsidP="00EB2E6B">
            <w:pPr>
              <w:jc w:val="center"/>
              <w:rPr>
                <w:rFonts w:cstheme="minorHAnsi"/>
                <w:b/>
              </w:rPr>
            </w:pPr>
            <w:r w:rsidRPr="001D7EBA">
              <w:rPr>
                <w:rFonts w:cstheme="minorHAnsi"/>
                <w:b/>
              </w:rPr>
              <w:t>Duration</w:t>
            </w:r>
          </w:p>
        </w:tc>
        <w:tc>
          <w:tcPr>
            <w:tcW w:w="1420" w:type="dxa"/>
          </w:tcPr>
          <w:p w14:paraId="3FA7A753" w14:textId="77777777" w:rsidR="00832DF8" w:rsidRPr="001D7EBA" w:rsidRDefault="00832DF8" w:rsidP="00EB2E6B">
            <w:pPr>
              <w:jc w:val="center"/>
              <w:rPr>
                <w:rFonts w:cstheme="minorHAnsi"/>
                <w:b/>
              </w:rPr>
            </w:pPr>
            <w:r w:rsidRPr="001D7EBA">
              <w:rPr>
                <w:rFonts w:cstheme="minorHAnsi"/>
                <w:b/>
              </w:rPr>
              <w:t>Format</w:t>
            </w:r>
          </w:p>
        </w:tc>
        <w:tc>
          <w:tcPr>
            <w:tcW w:w="8438" w:type="dxa"/>
          </w:tcPr>
          <w:p w14:paraId="1DCB0481" w14:textId="77777777" w:rsidR="00832DF8" w:rsidRPr="001D7EBA" w:rsidRDefault="00832DF8" w:rsidP="00EB2E6B">
            <w:pPr>
              <w:jc w:val="center"/>
              <w:rPr>
                <w:rFonts w:cstheme="minorHAnsi"/>
                <w:b/>
              </w:rPr>
            </w:pPr>
            <w:r w:rsidRPr="001D7EBA">
              <w:rPr>
                <w:rFonts w:cstheme="minorHAnsi"/>
                <w:b/>
              </w:rPr>
              <w:t>Activity</w:t>
            </w:r>
          </w:p>
        </w:tc>
        <w:tc>
          <w:tcPr>
            <w:tcW w:w="1530" w:type="dxa"/>
          </w:tcPr>
          <w:p w14:paraId="10788B2E" w14:textId="77777777" w:rsidR="00832DF8" w:rsidRPr="001D7EBA" w:rsidRDefault="00832DF8" w:rsidP="00EB2E6B">
            <w:pPr>
              <w:jc w:val="center"/>
              <w:rPr>
                <w:rFonts w:cstheme="minorHAnsi"/>
                <w:b/>
              </w:rPr>
            </w:pPr>
            <w:r>
              <w:rPr>
                <w:rFonts w:cstheme="minorHAnsi"/>
                <w:b/>
              </w:rPr>
              <w:t>Materials Required</w:t>
            </w:r>
          </w:p>
        </w:tc>
      </w:tr>
      <w:tr w:rsidR="00832DF8" w14:paraId="3A3EDC59" w14:textId="77777777" w:rsidTr="00832DF8">
        <w:tc>
          <w:tcPr>
            <w:tcW w:w="1027" w:type="dxa"/>
          </w:tcPr>
          <w:p w14:paraId="6666A985" w14:textId="53FBE37B" w:rsidR="00832DF8" w:rsidRDefault="00832DF8" w:rsidP="00EB2E6B">
            <w:pPr>
              <w:rPr>
                <w:rFonts w:cstheme="minorHAnsi"/>
              </w:rPr>
            </w:pPr>
            <w:r>
              <w:rPr>
                <w:rFonts w:cstheme="minorHAnsi"/>
              </w:rPr>
              <w:t>20 min</w:t>
            </w:r>
          </w:p>
        </w:tc>
        <w:tc>
          <w:tcPr>
            <w:tcW w:w="1420" w:type="dxa"/>
          </w:tcPr>
          <w:p w14:paraId="1FB9FEC9" w14:textId="4D6C0699" w:rsidR="00832DF8" w:rsidRDefault="00832DF8" w:rsidP="00EB2E6B">
            <w:pPr>
              <w:rPr>
                <w:rFonts w:cstheme="minorHAnsi"/>
              </w:rPr>
            </w:pPr>
            <w:r>
              <w:rPr>
                <w:rFonts w:cstheme="minorHAnsi"/>
              </w:rPr>
              <w:t xml:space="preserve">Large Group </w:t>
            </w:r>
            <w:r w:rsidR="003335BD">
              <w:rPr>
                <w:rFonts w:cstheme="minorHAnsi"/>
              </w:rPr>
              <w:t>PowerPoint</w:t>
            </w:r>
            <w:r>
              <w:rPr>
                <w:rFonts w:cstheme="minorHAnsi"/>
              </w:rPr>
              <w:t xml:space="preserve"> slides 1-1</w:t>
            </w:r>
            <w:r w:rsidR="003335BD">
              <w:rPr>
                <w:rFonts w:cstheme="minorHAnsi"/>
              </w:rPr>
              <w:t>0</w:t>
            </w:r>
          </w:p>
        </w:tc>
        <w:tc>
          <w:tcPr>
            <w:tcW w:w="8438" w:type="dxa"/>
          </w:tcPr>
          <w:p w14:paraId="3D70356B" w14:textId="0B54219C" w:rsidR="00832DF8" w:rsidRDefault="00832DF8" w:rsidP="00EB2E6B">
            <w:pPr>
              <w:rPr>
                <w:rFonts w:cstheme="minorHAnsi"/>
              </w:rPr>
            </w:pPr>
            <w:r>
              <w:rPr>
                <w:rFonts w:cstheme="minorHAnsi"/>
              </w:rPr>
              <w:t>Welcome and introduction to curriculum</w:t>
            </w:r>
          </w:p>
        </w:tc>
        <w:tc>
          <w:tcPr>
            <w:tcW w:w="1530" w:type="dxa"/>
          </w:tcPr>
          <w:p w14:paraId="14BE1FE4" w14:textId="4CA84D9A" w:rsidR="00832DF8" w:rsidRDefault="003335BD" w:rsidP="00EB2E6B">
            <w:pPr>
              <w:rPr>
                <w:rFonts w:cstheme="minorHAnsi"/>
              </w:rPr>
            </w:pPr>
            <w:r>
              <w:rPr>
                <w:rFonts w:cstheme="minorHAnsi"/>
              </w:rPr>
              <w:t>PowerPoint</w:t>
            </w:r>
          </w:p>
        </w:tc>
      </w:tr>
      <w:tr w:rsidR="00832DF8" w14:paraId="0A6F5CC9" w14:textId="77777777" w:rsidTr="00832DF8">
        <w:tc>
          <w:tcPr>
            <w:tcW w:w="1027" w:type="dxa"/>
          </w:tcPr>
          <w:p w14:paraId="1FA2C878" w14:textId="0FB6364F" w:rsidR="00832DF8" w:rsidRDefault="00832DF8" w:rsidP="00EB2E6B">
            <w:pPr>
              <w:rPr>
                <w:rFonts w:cstheme="minorHAnsi"/>
              </w:rPr>
            </w:pPr>
            <w:r>
              <w:rPr>
                <w:rFonts w:cstheme="minorHAnsi"/>
              </w:rPr>
              <w:t>5 min</w:t>
            </w:r>
          </w:p>
        </w:tc>
        <w:tc>
          <w:tcPr>
            <w:tcW w:w="1420" w:type="dxa"/>
          </w:tcPr>
          <w:p w14:paraId="42F15845" w14:textId="7B30A209" w:rsidR="00832DF8" w:rsidRDefault="00832DF8" w:rsidP="00EB2E6B">
            <w:pPr>
              <w:rPr>
                <w:rFonts w:cstheme="minorHAnsi"/>
              </w:rPr>
            </w:pPr>
            <w:r>
              <w:rPr>
                <w:rFonts w:cstheme="minorHAnsi"/>
              </w:rPr>
              <w:t>Large Group Discussion</w:t>
            </w:r>
          </w:p>
        </w:tc>
        <w:tc>
          <w:tcPr>
            <w:tcW w:w="8438" w:type="dxa"/>
          </w:tcPr>
          <w:p w14:paraId="3FD41D24" w14:textId="3099B010" w:rsidR="00832DF8" w:rsidRDefault="00832DF8" w:rsidP="00EB2E6B">
            <w:pPr>
              <w:rPr>
                <w:rFonts w:cstheme="minorHAnsi"/>
              </w:rPr>
            </w:pPr>
            <w:r>
              <w:rPr>
                <w:rFonts w:cstheme="minorHAnsi"/>
              </w:rPr>
              <w:t>Open the following to the large group:</w:t>
            </w:r>
          </w:p>
          <w:p w14:paraId="13041DBF" w14:textId="1AC2B300" w:rsidR="00832DF8" w:rsidRDefault="00832DF8" w:rsidP="004D629D">
            <w:pPr>
              <w:pStyle w:val="ListParagraph"/>
              <w:numPr>
                <w:ilvl w:val="0"/>
                <w:numId w:val="16"/>
              </w:numPr>
              <w:rPr>
                <w:rFonts w:cstheme="minorHAnsi"/>
              </w:rPr>
            </w:pPr>
            <w:r>
              <w:rPr>
                <w:rFonts w:cstheme="minorHAnsi"/>
              </w:rPr>
              <w:t>What are the barriers to addressing mistreatment and harassment by patients in the clinical setting?</w:t>
            </w:r>
          </w:p>
          <w:p w14:paraId="09D393A2" w14:textId="26F5F29E" w:rsidR="00832DF8" w:rsidRPr="004D629D" w:rsidRDefault="00832DF8" w:rsidP="004D629D">
            <w:pPr>
              <w:pStyle w:val="ListParagraph"/>
              <w:numPr>
                <w:ilvl w:val="0"/>
                <w:numId w:val="16"/>
              </w:numPr>
              <w:rPr>
                <w:rFonts w:cstheme="minorHAnsi"/>
              </w:rPr>
            </w:pPr>
            <w:r>
              <w:rPr>
                <w:rFonts w:cstheme="minorHAnsi"/>
              </w:rPr>
              <w:t>How does addressing mistreatment and harassment by patients differ from addressing that by staff/colleagues/supervisors?</w:t>
            </w:r>
          </w:p>
          <w:p w14:paraId="476ED242" w14:textId="77777777" w:rsidR="00832DF8" w:rsidRDefault="00832DF8" w:rsidP="00DD103A">
            <w:pPr>
              <w:rPr>
                <w:rFonts w:eastAsia="Times New Roman"/>
              </w:rPr>
            </w:pPr>
          </w:p>
          <w:p w14:paraId="595AF72C" w14:textId="5397AFF8" w:rsidR="00832DF8" w:rsidRPr="004D629D" w:rsidRDefault="00832DF8" w:rsidP="00EB2E6B">
            <w:pPr>
              <w:rPr>
                <w:rFonts w:eastAsia="Times New Roman"/>
              </w:rPr>
            </w:pPr>
            <w:r>
              <w:rPr>
                <w:rFonts w:eastAsia="Times New Roman"/>
              </w:rPr>
              <w:t>Open the floor to discussion—leave silence if needed.</w:t>
            </w:r>
          </w:p>
        </w:tc>
        <w:tc>
          <w:tcPr>
            <w:tcW w:w="1530" w:type="dxa"/>
          </w:tcPr>
          <w:p w14:paraId="11C936F1" w14:textId="77777777" w:rsidR="00832DF8" w:rsidRDefault="00832DF8" w:rsidP="00EB2E6B">
            <w:pPr>
              <w:rPr>
                <w:rFonts w:cstheme="minorHAnsi"/>
              </w:rPr>
            </w:pPr>
          </w:p>
        </w:tc>
      </w:tr>
      <w:tr w:rsidR="00832DF8" w14:paraId="67C2A7B5" w14:textId="77777777" w:rsidTr="00832DF8">
        <w:tc>
          <w:tcPr>
            <w:tcW w:w="1027" w:type="dxa"/>
          </w:tcPr>
          <w:p w14:paraId="614C5EC6" w14:textId="1EDC979E" w:rsidR="00832DF8" w:rsidRPr="00893DA3" w:rsidRDefault="00832DF8" w:rsidP="00EB2E6B">
            <w:pPr>
              <w:rPr>
                <w:rFonts w:cstheme="minorHAnsi"/>
              </w:rPr>
            </w:pPr>
            <w:r>
              <w:rPr>
                <w:rFonts w:cstheme="minorHAnsi"/>
              </w:rPr>
              <w:lastRenderedPageBreak/>
              <w:t>20 min</w:t>
            </w:r>
          </w:p>
        </w:tc>
        <w:tc>
          <w:tcPr>
            <w:tcW w:w="1420" w:type="dxa"/>
          </w:tcPr>
          <w:p w14:paraId="49DCB0DD" w14:textId="3118968C" w:rsidR="00832DF8" w:rsidRDefault="00832DF8" w:rsidP="00EB2E6B">
            <w:pPr>
              <w:rPr>
                <w:rFonts w:cstheme="minorHAnsi"/>
              </w:rPr>
            </w:pPr>
            <w:r>
              <w:rPr>
                <w:rFonts w:cstheme="minorHAnsi"/>
              </w:rPr>
              <w:t xml:space="preserve">Large Group </w:t>
            </w:r>
            <w:proofErr w:type="spellStart"/>
            <w:r>
              <w:rPr>
                <w:rFonts w:cstheme="minorHAnsi"/>
              </w:rPr>
              <w:t>Powerpoint</w:t>
            </w:r>
            <w:proofErr w:type="spellEnd"/>
            <w:r>
              <w:rPr>
                <w:rFonts w:cstheme="minorHAnsi"/>
              </w:rPr>
              <w:t xml:space="preserve"> slides </w:t>
            </w:r>
            <w:r w:rsidR="00500CCE">
              <w:rPr>
                <w:rFonts w:cstheme="minorHAnsi"/>
              </w:rPr>
              <w:t>20</w:t>
            </w:r>
            <w:r>
              <w:rPr>
                <w:rFonts w:cstheme="minorHAnsi"/>
              </w:rPr>
              <w:t>-3</w:t>
            </w:r>
            <w:r w:rsidR="003335BD">
              <w:rPr>
                <w:rFonts w:cstheme="minorHAnsi"/>
              </w:rPr>
              <w:t>9</w:t>
            </w:r>
          </w:p>
          <w:p w14:paraId="3279ED72" w14:textId="77777777" w:rsidR="00832DF8" w:rsidRDefault="00832DF8" w:rsidP="00EB2E6B">
            <w:pPr>
              <w:rPr>
                <w:rFonts w:cstheme="minorHAnsi"/>
              </w:rPr>
            </w:pPr>
          </w:p>
          <w:p w14:paraId="0A96FC1E" w14:textId="77777777" w:rsidR="00832DF8" w:rsidRPr="00893DA3" w:rsidRDefault="00832DF8" w:rsidP="00EB2E6B">
            <w:pPr>
              <w:rPr>
                <w:rFonts w:cstheme="minorHAnsi"/>
              </w:rPr>
            </w:pPr>
          </w:p>
        </w:tc>
        <w:tc>
          <w:tcPr>
            <w:tcW w:w="8438" w:type="dxa"/>
          </w:tcPr>
          <w:p w14:paraId="2042BD07" w14:textId="77777777" w:rsidR="00832DF8" w:rsidRDefault="00832DF8" w:rsidP="00EB2E6B">
            <w:pPr>
              <w:rPr>
                <w:rFonts w:cstheme="minorHAnsi"/>
              </w:rPr>
            </w:pPr>
            <w:r>
              <w:rPr>
                <w:rFonts w:cstheme="minorHAnsi"/>
              </w:rPr>
              <w:t>Speaker notes in slides</w:t>
            </w:r>
          </w:p>
          <w:p w14:paraId="18532148" w14:textId="77777777" w:rsidR="00832DF8" w:rsidRDefault="00832DF8" w:rsidP="00EB2E6B">
            <w:pPr>
              <w:rPr>
                <w:rFonts w:cstheme="minorHAnsi"/>
              </w:rPr>
            </w:pPr>
          </w:p>
          <w:p w14:paraId="32279018" w14:textId="70C32B25" w:rsidR="00832DF8" w:rsidRDefault="00832DF8" w:rsidP="00EB2E6B">
            <w:pPr>
              <w:rPr>
                <w:rFonts w:cstheme="minorHAnsi"/>
              </w:rPr>
            </w:pPr>
            <w:r>
              <w:rPr>
                <w:rFonts w:cstheme="minorHAnsi"/>
              </w:rPr>
              <w:t>**</w:t>
            </w:r>
            <w:r w:rsidR="003335BD">
              <w:rPr>
                <w:rFonts w:cstheme="minorHAnsi"/>
              </w:rPr>
              <w:t xml:space="preserve">NOTE: slide 34 </w:t>
            </w:r>
            <w:r>
              <w:rPr>
                <w:rFonts w:cstheme="minorHAnsi"/>
              </w:rPr>
              <w:t>Replace institutional policies and references with those from your own institution</w:t>
            </w:r>
          </w:p>
          <w:p w14:paraId="120FAA51" w14:textId="2C5A2A71" w:rsidR="00832DF8" w:rsidRPr="00C967AD" w:rsidRDefault="00832DF8" w:rsidP="00EB2E6B">
            <w:pPr>
              <w:rPr>
                <w:rFonts w:cstheme="minorHAnsi"/>
              </w:rPr>
            </w:pPr>
            <w:r>
              <w:rPr>
                <w:rFonts w:cstheme="minorHAnsi"/>
              </w:rPr>
              <w:t>If no formal policies and/or reporting mechanisms exist, be transparent about this and what is being done to remedy these omissions</w:t>
            </w:r>
          </w:p>
        </w:tc>
        <w:tc>
          <w:tcPr>
            <w:tcW w:w="1530" w:type="dxa"/>
          </w:tcPr>
          <w:p w14:paraId="7E059CCB" w14:textId="147D622D" w:rsidR="00832DF8" w:rsidRPr="00893DA3" w:rsidRDefault="003335BD" w:rsidP="00EB2E6B">
            <w:pPr>
              <w:rPr>
                <w:rFonts w:cstheme="minorHAnsi"/>
              </w:rPr>
            </w:pPr>
            <w:r>
              <w:rPr>
                <w:rFonts w:cstheme="minorHAnsi"/>
              </w:rPr>
              <w:t>PowerPoint</w:t>
            </w:r>
          </w:p>
        </w:tc>
      </w:tr>
      <w:tr w:rsidR="00832DF8" w14:paraId="02AA9BC4" w14:textId="77777777" w:rsidTr="00832DF8">
        <w:tc>
          <w:tcPr>
            <w:tcW w:w="1027" w:type="dxa"/>
          </w:tcPr>
          <w:p w14:paraId="3103A742" w14:textId="5A0025DF" w:rsidR="00832DF8" w:rsidRPr="00893DA3" w:rsidRDefault="00832DF8" w:rsidP="00EB2E6B">
            <w:pPr>
              <w:rPr>
                <w:rFonts w:cstheme="minorHAnsi"/>
              </w:rPr>
            </w:pPr>
            <w:r>
              <w:rPr>
                <w:rFonts w:cstheme="minorHAnsi"/>
              </w:rPr>
              <w:t>10 min</w:t>
            </w:r>
          </w:p>
        </w:tc>
        <w:tc>
          <w:tcPr>
            <w:tcW w:w="1420" w:type="dxa"/>
          </w:tcPr>
          <w:p w14:paraId="74345E66" w14:textId="5DF36AB5" w:rsidR="00832DF8" w:rsidRPr="00893DA3" w:rsidRDefault="00832DF8" w:rsidP="00EB2E6B">
            <w:pPr>
              <w:rPr>
                <w:rFonts w:cstheme="minorHAnsi"/>
              </w:rPr>
            </w:pPr>
            <w:r>
              <w:rPr>
                <w:rFonts w:cstheme="minorHAnsi"/>
              </w:rPr>
              <w:t>Microaggression Taboo</w:t>
            </w:r>
          </w:p>
        </w:tc>
        <w:tc>
          <w:tcPr>
            <w:tcW w:w="8438" w:type="dxa"/>
          </w:tcPr>
          <w:p w14:paraId="48BC137F" w14:textId="22C16289" w:rsidR="00F531A0" w:rsidRPr="00F531A0" w:rsidRDefault="00967431" w:rsidP="00F531A0">
            <w:r>
              <w:t>Open the doc in the folder titled “Practice Case”. L</w:t>
            </w:r>
            <w:commentRangeStart w:id="0"/>
            <w:r w:rsidR="00F531A0" w:rsidRPr="00F531A0">
              <w:t xml:space="preserve">et learners know that you (the facilitator) will read the case aloud.  </w:t>
            </w:r>
            <w:commentRangeEnd w:id="0"/>
            <w:r w:rsidR="00266EE0">
              <w:rPr>
                <w:rStyle w:val="CommentReference"/>
              </w:rPr>
              <w:commentReference w:id="0"/>
            </w:r>
            <w:r w:rsidR="00F531A0" w:rsidRPr="00F531A0">
              <w:t>Ask the learners to pay attention to identifying any microaggressions they notice.  No matter what framework they use to respond, IDENTIFYING the microaggression is an important step.  If a learner identifies a microaggression, they should pound on the table (like a Taboo buzzer).  If it is something that others may not recognize as a microaggression, you may ask the person who identified it to describe WHY it is a microaggression; or you can describe this yourself.  Some are obvious and do not require further explanation.  The learner should then use one of the phrases from their ‘minimalist’ toolkit, or a more detailed/elegant phrase if they feel so inclined, to interrupt the microaggression.  Reassure learners that they do not have to have a perfect response—we want them to get used to responding even if they don’t feel like their language is exactly right.  Sometimes better is the enemy of good.  No response at all communicates that the microaggression is OK.</w:t>
            </w:r>
          </w:p>
          <w:p w14:paraId="7244CEAB" w14:textId="77777777" w:rsidR="00F531A0" w:rsidRPr="00F531A0" w:rsidRDefault="00F531A0" w:rsidP="00F531A0"/>
          <w:p w14:paraId="54B966AA" w14:textId="77777777" w:rsidR="00F531A0" w:rsidRPr="00F531A0" w:rsidRDefault="00F531A0" w:rsidP="00F531A0">
            <w:pPr>
              <w:pStyle w:val="NormalWeb"/>
              <w:spacing w:before="0" w:beforeAutospacing="0" w:after="0" w:afterAutospacing="0"/>
              <w:rPr>
                <w:rFonts w:asciiTheme="minorHAnsi" w:hAnsiTheme="minorHAnsi" w:cs="Arial"/>
                <w:color w:val="000000"/>
                <w:sz w:val="22"/>
                <w:szCs w:val="22"/>
              </w:rPr>
            </w:pPr>
            <w:r w:rsidRPr="00F531A0">
              <w:rPr>
                <w:rFonts w:asciiTheme="minorHAnsi" w:hAnsiTheme="minorHAnsi" w:cs="Arial"/>
                <w:color w:val="000000"/>
                <w:sz w:val="22"/>
                <w:szCs w:val="22"/>
              </w:rPr>
              <w:t>Ground rules for this particular exercise:</w:t>
            </w:r>
          </w:p>
          <w:p w14:paraId="67A45B00" w14:textId="77777777" w:rsidR="00F531A0" w:rsidRPr="00F531A0" w:rsidRDefault="00F531A0" w:rsidP="00F531A0">
            <w:pPr>
              <w:pStyle w:val="NormalWeb"/>
              <w:numPr>
                <w:ilvl w:val="0"/>
                <w:numId w:val="17"/>
              </w:numPr>
              <w:spacing w:before="0" w:beforeAutospacing="0" w:after="0" w:afterAutospacing="0"/>
              <w:rPr>
                <w:rFonts w:asciiTheme="minorHAnsi" w:hAnsiTheme="minorHAnsi" w:cs="Arial"/>
                <w:color w:val="000000"/>
                <w:sz w:val="22"/>
                <w:szCs w:val="22"/>
              </w:rPr>
            </w:pPr>
            <w:r w:rsidRPr="00F531A0">
              <w:rPr>
                <w:rFonts w:asciiTheme="minorHAnsi" w:hAnsiTheme="minorHAnsi" w:cs="Arial"/>
                <w:color w:val="000000"/>
                <w:sz w:val="22"/>
                <w:szCs w:val="22"/>
              </w:rPr>
              <w:t xml:space="preserve">As a default, all residents should respond as if they are observing the incident as a witness.  </w:t>
            </w:r>
          </w:p>
          <w:p w14:paraId="274407A3" w14:textId="77777777" w:rsidR="00F531A0" w:rsidRPr="00F531A0" w:rsidRDefault="00F531A0" w:rsidP="00F531A0">
            <w:pPr>
              <w:pStyle w:val="NormalWeb"/>
              <w:numPr>
                <w:ilvl w:val="1"/>
                <w:numId w:val="17"/>
              </w:numPr>
              <w:spacing w:before="0" w:beforeAutospacing="0" w:after="0" w:afterAutospacing="0"/>
              <w:rPr>
                <w:rFonts w:asciiTheme="minorHAnsi" w:hAnsiTheme="minorHAnsi" w:cs="Arial"/>
                <w:color w:val="000000"/>
                <w:sz w:val="22"/>
                <w:szCs w:val="22"/>
              </w:rPr>
            </w:pPr>
            <w:r w:rsidRPr="00F531A0">
              <w:rPr>
                <w:rFonts w:asciiTheme="minorHAnsi" w:hAnsiTheme="minorHAnsi" w:cs="Arial"/>
                <w:color w:val="000000"/>
                <w:sz w:val="22"/>
                <w:szCs w:val="22"/>
              </w:rPr>
              <w:t xml:space="preserve">If the resident wishes to act as the individual experiencing the microaggression, AND they hold the identity consistent with the microaggression described, they may ask to do so. </w:t>
            </w:r>
          </w:p>
          <w:p w14:paraId="77E5BC9F" w14:textId="77777777" w:rsidR="00F531A0" w:rsidRPr="00F531A0" w:rsidRDefault="00F531A0" w:rsidP="00F531A0">
            <w:pPr>
              <w:pStyle w:val="NormalWeb"/>
              <w:numPr>
                <w:ilvl w:val="1"/>
                <w:numId w:val="17"/>
              </w:numPr>
              <w:spacing w:before="0" w:beforeAutospacing="0" w:after="0" w:afterAutospacing="0"/>
              <w:rPr>
                <w:rFonts w:asciiTheme="minorHAnsi" w:hAnsiTheme="minorHAnsi" w:cs="Arial"/>
                <w:color w:val="000000"/>
                <w:sz w:val="22"/>
                <w:szCs w:val="22"/>
              </w:rPr>
            </w:pPr>
            <w:r w:rsidRPr="00F531A0">
              <w:rPr>
                <w:rFonts w:asciiTheme="minorHAnsi" w:hAnsiTheme="minorHAnsi" w:cs="Arial"/>
                <w:color w:val="000000"/>
                <w:sz w:val="22"/>
                <w:szCs w:val="22"/>
              </w:rPr>
              <w:t xml:space="preserve">Learners should </w:t>
            </w:r>
            <w:r w:rsidRPr="00F531A0">
              <w:rPr>
                <w:rFonts w:asciiTheme="minorHAnsi" w:hAnsiTheme="minorHAnsi" w:cs="Arial"/>
                <w:color w:val="000000"/>
                <w:sz w:val="22"/>
                <w:szCs w:val="22"/>
                <w:u w:val="single"/>
              </w:rPr>
              <w:t>never</w:t>
            </w:r>
            <w:r w:rsidRPr="00F531A0">
              <w:rPr>
                <w:rFonts w:asciiTheme="minorHAnsi" w:hAnsiTheme="minorHAnsi" w:cs="Arial"/>
                <w:color w:val="000000"/>
                <w:sz w:val="22"/>
                <w:szCs w:val="22"/>
              </w:rPr>
              <w:t xml:space="preserve"> take on a marginalized, oppressed or underrepresented identity they do not hold</w:t>
            </w:r>
          </w:p>
          <w:p w14:paraId="438219BF" w14:textId="77777777" w:rsidR="00F531A0" w:rsidRPr="00F531A0" w:rsidRDefault="00F531A0" w:rsidP="00F531A0">
            <w:pPr>
              <w:pStyle w:val="NormalWeb"/>
              <w:numPr>
                <w:ilvl w:val="0"/>
                <w:numId w:val="17"/>
              </w:numPr>
              <w:spacing w:before="0" w:beforeAutospacing="0" w:after="0" w:afterAutospacing="0"/>
              <w:rPr>
                <w:rFonts w:asciiTheme="minorHAnsi" w:hAnsiTheme="minorHAnsi" w:cs="Arial"/>
                <w:color w:val="000000"/>
                <w:sz w:val="22"/>
                <w:szCs w:val="22"/>
              </w:rPr>
            </w:pPr>
            <w:r w:rsidRPr="00F531A0">
              <w:rPr>
                <w:rFonts w:asciiTheme="minorHAnsi" w:hAnsiTheme="minorHAnsi" w:cs="Arial"/>
                <w:color w:val="000000"/>
                <w:sz w:val="22"/>
                <w:szCs w:val="22"/>
              </w:rPr>
              <w:t>Those experiencing a microaggression may respond or choose not to, and should be supported however they choose to respond</w:t>
            </w:r>
          </w:p>
          <w:p w14:paraId="71228322" w14:textId="77777777" w:rsidR="00F531A0" w:rsidRPr="00F531A0" w:rsidRDefault="00F531A0" w:rsidP="00F531A0">
            <w:pPr>
              <w:pStyle w:val="NormalWeb"/>
              <w:numPr>
                <w:ilvl w:val="0"/>
                <w:numId w:val="17"/>
              </w:numPr>
              <w:spacing w:before="0" w:beforeAutospacing="0" w:after="0" w:afterAutospacing="0"/>
              <w:rPr>
                <w:rFonts w:asciiTheme="minorHAnsi" w:hAnsiTheme="minorHAnsi" w:cs="Arial"/>
                <w:color w:val="000000"/>
                <w:sz w:val="22"/>
                <w:szCs w:val="22"/>
              </w:rPr>
            </w:pPr>
            <w:r w:rsidRPr="00F531A0">
              <w:rPr>
                <w:rFonts w:asciiTheme="minorHAnsi" w:hAnsiTheme="minorHAnsi" w:cs="Arial"/>
                <w:color w:val="000000"/>
                <w:sz w:val="22"/>
                <w:szCs w:val="22"/>
              </w:rPr>
              <w:t>Those who witness or hear about a microaggression SHOULD respond.  Do not assume someone else will respond.</w:t>
            </w:r>
          </w:p>
          <w:p w14:paraId="5DBC64E2" w14:textId="5E664B5B" w:rsidR="00832DF8" w:rsidRPr="00F531A0" w:rsidRDefault="00F531A0" w:rsidP="00F531A0">
            <w:pPr>
              <w:pStyle w:val="NormalWeb"/>
              <w:numPr>
                <w:ilvl w:val="0"/>
                <w:numId w:val="17"/>
              </w:numPr>
              <w:spacing w:before="0" w:beforeAutospacing="0" w:after="0" w:afterAutospacing="0"/>
              <w:rPr>
                <w:rFonts w:asciiTheme="minorHAnsi" w:hAnsiTheme="minorHAnsi" w:cs="Arial"/>
                <w:color w:val="000000"/>
                <w:sz w:val="22"/>
                <w:szCs w:val="22"/>
              </w:rPr>
            </w:pPr>
            <w:r w:rsidRPr="00F531A0">
              <w:rPr>
                <w:rFonts w:asciiTheme="minorHAnsi" w:hAnsiTheme="minorHAnsi"/>
                <w:sz w:val="22"/>
                <w:szCs w:val="22"/>
              </w:rPr>
              <w:t xml:space="preserve">This is intentionally redundant.  Most people need to practice hearing and saying these words a few times in a low </w:t>
            </w:r>
            <w:proofErr w:type="gramStart"/>
            <w:r w:rsidRPr="00F531A0">
              <w:rPr>
                <w:rFonts w:asciiTheme="minorHAnsi" w:hAnsiTheme="minorHAnsi"/>
                <w:sz w:val="22"/>
                <w:szCs w:val="22"/>
              </w:rPr>
              <w:t>stakes</w:t>
            </w:r>
            <w:proofErr w:type="gramEnd"/>
            <w:r w:rsidRPr="00F531A0">
              <w:rPr>
                <w:rFonts w:asciiTheme="minorHAnsi" w:hAnsiTheme="minorHAnsi"/>
                <w:sz w:val="22"/>
                <w:szCs w:val="22"/>
              </w:rPr>
              <w:t xml:space="preserve"> situation (such as this session) before they are able to apply them in a real world setting.</w:t>
            </w:r>
          </w:p>
        </w:tc>
        <w:tc>
          <w:tcPr>
            <w:tcW w:w="1530" w:type="dxa"/>
          </w:tcPr>
          <w:p w14:paraId="3D2CB731" w14:textId="592EED73" w:rsidR="00832DF8" w:rsidRPr="00893DA3" w:rsidRDefault="00832DF8" w:rsidP="00EB2E6B">
            <w:pPr>
              <w:rPr>
                <w:rFonts w:cstheme="minorHAnsi"/>
              </w:rPr>
            </w:pPr>
            <w:r>
              <w:rPr>
                <w:rFonts w:cstheme="minorHAnsi"/>
              </w:rPr>
              <w:t>Case Handout</w:t>
            </w:r>
          </w:p>
        </w:tc>
      </w:tr>
      <w:tr w:rsidR="00832DF8" w14:paraId="0A368348" w14:textId="77777777" w:rsidTr="00832DF8">
        <w:tc>
          <w:tcPr>
            <w:tcW w:w="1027" w:type="dxa"/>
          </w:tcPr>
          <w:p w14:paraId="698F611B" w14:textId="74A6AFBE" w:rsidR="00832DF8" w:rsidRDefault="00F531A0" w:rsidP="00EB2E6B">
            <w:pPr>
              <w:rPr>
                <w:rFonts w:cstheme="minorHAnsi"/>
              </w:rPr>
            </w:pPr>
            <w:r>
              <w:rPr>
                <w:rFonts w:cstheme="minorHAnsi"/>
              </w:rPr>
              <w:lastRenderedPageBreak/>
              <w:t>2</w:t>
            </w:r>
            <w:r w:rsidR="00832DF8">
              <w:rPr>
                <w:rFonts w:cstheme="minorHAnsi"/>
              </w:rPr>
              <w:t xml:space="preserve"> min</w:t>
            </w:r>
          </w:p>
        </w:tc>
        <w:tc>
          <w:tcPr>
            <w:tcW w:w="1420" w:type="dxa"/>
          </w:tcPr>
          <w:p w14:paraId="39ED1867" w14:textId="5AC56A98" w:rsidR="00832DF8" w:rsidRDefault="00832DF8" w:rsidP="00EB2E6B">
            <w:pPr>
              <w:rPr>
                <w:rFonts w:cstheme="minorHAnsi"/>
              </w:rPr>
            </w:pPr>
            <w:r>
              <w:rPr>
                <w:rFonts w:cstheme="minorHAnsi"/>
              </w:rPr>
              <w:t>Pair Share</w:t>
            </w:r>
          </w:p>
        </w:tc>
        <w:tc>
          <w:tcPr>
            <w:tcW w:w="8438" w:type="dxa"/>
          </w:tcPr>
          <w:p w14:paraId="45299BB0" w14:textId="77777777" w:rsidR="00832DF8" w:rsidRPr="00F531A0" w:rsidRDefault="00F531A0" w:rsidP="00E316C6">
            <w:pPr>
              <w:spacing w:before="100" w:beforeAutospacing="1" w:after="100" w:afterAutospacing="1"/>
              <w:rPr>
                <w:rFonts w:eastAsia="Times New Roman" w:cs="Times New Roman"/>
              </w:rPr>
            </w:pPr>
            <w:r w:rsidRPr="00F531A0">
              <w:rPr>
                <w:rFonts w:eastAsia="Times New Roman" w:cs="Times New Roman"/>
              </w:rPr>
              <w:t>Hand / Head / Heart Reflection</w:t>
            </w:r>
          </w:p>
          <w:p w14:paraId="22EF995B" w14:textId="5EC472CE" w:rsidR="00F531A0" w:rsidRPr="00F531A0" w:rsidRDefault="00F531A0" w:rsidP="00E316C6">
            <w:pPr>
              <w:spacing w:before="100" w:beforeAutospacing="1" w:after="100" w:afterAutospacing="1"/>
              <w:rPr>
                <w:rFonts w:eastAsia="Times New Roman" w:cs="Times New Roman"/>
              </w:rPr>
            </w:pPr>
            <w:r w:rsidRPr="00F531A0">
              <w:rPr>
                <w:rFonts w:eastAsia="Times New Roman" w:cs="Times New Roman"/>
              </w:rPr>
              <w:t>Ask each participant to share with their neighbor.  Can choose one or reflect on all.</w:t>
            </w:r>
          </w:p>
        </w:tc>
        <w:tc>
          <w:tcPr>
            <w:tcW w:w="1530" w:type="dxa"/>
          </w:tcPr>
          <w:p w14:paraId="5CDB00E3" w14:textId="77777777" w:rsidR="00832DF8" w:rsidRPr="00893DA3" w:rsidRDefault="00832DF8" w:rsidP="00EB2E6B">
            <w:pPr>
              <w:rPr>
                <w:rFonts w:cstheme="minorHAnsi"/>
              </w:rPr>
            </w:pPr>
          </w:p>
        </w:tc>
      </w:tr>
    </w:tbl>
    <w:p w14:paraId="33A4D4E2" w14:textId="77777777" w:rsidR="0024322B" w:rsidRDefault="0024322B"/>
    <w:sectPr w:rsidR="0024322B" w:rsidSect="00EB2E6B">
      <w:pgSz w:w="15840" w:h="12240" w:orient="landscape"/>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EANNA MARIE PORTALE" w:date="2022-06-08T22:52:00Z" w:initials="BMP">
    <w:p w14:paraId="58CFE659" w14:textId="0A0FFA0E" w:rsidR="00967431" w:rsidRDefault="00266EE0" w:rsidP="00203FCC">
      <w:r>
        <w:rPr>
          <w:rStyle w:val="CommentReference"/>
        </w:rPr>
        <w:annotationRef/>
      </w:r>
      <w:r w:rsidR="00967431">
        <w:rPr>
          <w:sz w:val="20"/>
          <w:szCs w:val="20"/>
        </w:rPr>
        <w:t xml:space="preserve">Should add note to open the doc that’s in the folder so facilitator easily knows where it is. </w:t>
      </w:r>
    </w:p>
    <w:p w14:paraId="3AC4D0C1" w14:textId="77777777" w:rsidR="00967431" w:rsidRDefault="00967431" w:rsidP="00203FCC"/>
    <w:p w14:paraId="116404FE" w14:textId="77777777" w:rsidR="00967431" w:rsidRDefault="00967431" w:rsidP="00203FCC">
      <w:r>
        <w:rPr>
          <w:sz w:val="20"/>
          <w:szCs w:val="20"/>
        </w:rPr>
        <w:t xml:space="preserve">CORRECTED.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404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A6A3" w16cex:dateUtc="2022-06-09T0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404FE" w16cid:durableId="264BA6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E50"/>
    <w:multiLevelType w:val="hybridMultilevel"/>
    <w:tmpl w:val="4F8E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F70"/>
    <w:multiLevelType w:val="hybridMultilevel"/>
    <w:tmpl w:val="9F14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FDD"/>
    <w:multiLevelType w:val="hybridMultilevel"/>
    <w:tmpl w:val="C7A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B80753"/>
    <w:multiLevelType w:val="hybridMultilevel"/>
    <w:tmpl w:val="5490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744EE"/>
    <w:multiLevelType w:val="hybridMultilevel"/>
    <w:tmpl w:val="DD40A13E"/>
    <w:lvl w:ilvl="0" w:tplc="DFE02D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94136"/>
    <w:multiLevelType w:val="hybridMultilevel"/>
    <w:tmpl w:val="4F8E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A4199"/>
    <w:multiLevelType w:val="hybridMultilevel"/>
    <w:tmpl w:val="739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12EB9"/>
    <w:multiLevelType w:val="hybridMultilevel"/>
    <w:tmpl w:val="75A6D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435B56"/>
    <w:multiLevelType w:val="hybridMultilevel"/>
    <w:tmpl w:val="E996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10A97"/>
    <w:multiLevelType w:val="hybridMultilevel"/>
    <w:tmpl w:val="89EA605A"/>
    <w:lvl w:ilvl="0" w:tplc="F014B0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F29C3"/>
    <w:multiLevelType w:val="hybridMultilevel"/>
    <w:tmpl w:val="A58A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36A68"/>
    <w:multiLevelType w:val="hybridMultilevel"/>
    <w:tmpl w:val="3BB2992A"/>
    <w:lvl w:ilvl="0" w:tplc="C0725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34AAA"/>
    <w:multiLevelType w:val="hybridMultilevel"/>
    <w:tmpl w:val="27F06AAC"/>
    <w:lvl w:ilvl="0" w:tplc="E98AEE1A">
      <w:start w:val="1"/>
      <w:numFmt w:val="bullet"/>
      <w:lvlText w:val="•"/>
      <w:lvlJc w:val="left"/>
      <w:pPr>
        <w:tabs>
          <w:tab w:val="num" w:pos="720"/>
        </w:tabs>
        <w:ind w:left="720" w:hanging="360"/>
      </w:pPr>
      <w:rPr>
        <w:rFonts w:ascii="Arial" w:hAnsi="Arial" w:hint="default"/>
      </w:rPr>
    </w:lvl>
    <w:lvl w:ilvl="1" w:tplc="DBCA902C" w:tentative="1">
      <w:start w:val="1"/>
      <w:numFmt w:val="bullet"/>
      <w:lvlText w:val="•"/>
      <w:lvlJc w:val="left"/>
      <w:pPr>
        <w:tabs>
          <w:tab w:val="num" w:pos="1440"/>
        </w:tabs>
        <w:ind w:left="1440" w:hanging="360"/>
      </w:pPr>
      <w:rPr>
        <w:rFonts w:ascii="Arial" w:hAnsi="Arial" w:hint="default"/>
      </w:rPr>
    </w:lvl>
    <w:lvl w:ilvl="2" w:tplc="8F067620" w:tentative="1">
      <w:start w:val="1"/>
      <w:numFmt w:val="bullet"/>
      <w:lvlText w:val="•"/>
      <w:lvlJc w:val="left"/>
      <w:pPr>
        <w:tabs>
          <w:tab w:val="num" w:pos="2160"/>
        </w:tabs>
        <w:ind w:left="2160" w:hanging="360"/>
      </w:pPr>
      <w:rPr>
        <w:rFonts w:ascii="Arial" w:hAnsi="Arial" w:hint="default"/>
      </w:rPr>
    </w:lvl>
    <w:lvl w:ilvl="3" w:tplc="444C985C" w:tentative="1">
      <w:start w:val="1"/>
      <w:numFmt w:val="bullet"/>
      <w:lvlText w:val="•"/>
      <w:lvlJc w:val="left"/>
      <w:pPr>
        <w:tabs>
          <w:tab w:val="num" w:pos="2880"/>
        </w:tabs>
        <w:ind w:left="2880" w:hanging="360"/>
      </w:pPr>
      <w:rPr>
        <w:rFonts w:ascii="Arial" w:hAnsi="Arial" w:hint="default"/>
      </w:rPr>
    </w:lvl>
    <w:lvl w:ilvl="4" w:tplc="8014262C" w:tentative="1">
      <w:start w:val="1"/>
      <w:numFmt w:val="bullet"/>
      <w:lvlText w:val="•"/>
      <w:lvlJc w:val="left"/>
      <w:pPr>
        <w:tabs>
          <w:tab w:val="num" w:pos="3600"/>
        </w:tabs>
        <w:ind w:left="3600" w:hanging="360"/>
      </w:pPr>
      <w:rPr>
        <w:rFonts w:ascii="Arial" w:hAnsi="Arial" w:hint="default"/>
      </w:rPr>
    </w:lvl>
    <w:lvl w:ilvl="5" w:tplc="AFC6F37E" w:tentative="1">
      <w:start w:val="1"/>
      <w:numFmt w:val="bullet"/>
      <w:lvlText w:val="•"/>
      <w:lvlJc w:val="left"/>
      <w:pPr>
        <w:tabs>
          <w:tab w:val="num" w:pos="4320"/>
        </w:tabs>
        <w:ind w:left="4320" w:hanging="360"/>
      </w:pPr>
      <w:rPr>
        <w:rFonts w:ascii="Arial" w:hAnsi="Arial" w:hint="default"/>
      </w:rPr>
    </w:lvl>
    <w:lvl w:ilvl="6" w:tplc="D2B28888" w:tentative="1">
      <w:start w:val="1"/>
      <w:numFmt w:val="bullet"/>
      <w:lvlText w:val="•"/>
      <w:lvlJc w:val="left"/>
      <w:pPr>
        <w:tabs>
          <w:tab w:val="num" w:pos="5040"/>
        </w:tabs>
        <w:ind w:left="5040" w:hanging="360"/>
      </w:pPr>
      <w:rPr>
        <w:rFonts w:ascii="Arial" w:hAnsi="Arial" w:hint="default"/>
      </w:rPr>
    </w:lvl>
    <w:lvl w:ilvl="7" w:tplc="32C62C24" w:tentative="1">
      <w:start w:val="1"/>
      <w:numFmt w:val="bullet"/>
      <w:lvlText w:val="•"/>
      <w:lvlJc w:val="left"/>
      <w:pPr>
        <w:tabs>
          <w:tab w:val="num" w:pos="5760"/>
        </w:tabs>
        <w:ind w:left="5760" w:hanging="360"/>
      </w:pPr>
      <w:rPr>
        <w:rFonts w:ascii="Arial" w:hAnsi="Arial" w:hint="default"/>
      </w:rPr>
    </w:lvl>
    <w:lvl w:ilvl="8" w:tplc="E684EA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ED4D98"/>
    <w:multiLevelType w:val="hybridMultilevel"/>
    <w:tmpl w:val="11EC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2374F"/>
    <w:multiLevelType w:val="hybridMultilevel"/>
    <w:tmpl w:val="7C74E6CC"/>
    <w:lvl w:ilvl="0" w:tplc="D81EB7F4">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571956">
    <w:abstractNumId w:val="13"/>
  </w:num>
  <w:num w:numId="2" w16cid:durableId="44184617">
    <w:abstractNumId w:val="12"/>
  </w:num>
  <w:num w:numId="3" w16cid:durableId="1484853055">
    <w:abstractNumId w:val="16"/>
  </w:num>
  <w:num w:numId="4" w16cid:durableId="1593783691">
    <w:abstractNumId w:val="6"/>
  </w:num>
  <w:num w:numId="5" w16cid:durableId="2002737734">
    <w:abstractNumId w:val="15"/>
  </w:num>
  <w:num w:numId="6" w16cid:durableId="1682929154">
    <w:abstractNumId w:val="11"/>
  </w:num>
  <w:num w:numId="7" w16cid:durableId="762578112">
    <w:abstractNumId w:val="1"/>
  </w:num>
  <w:num w:numId="8" w16cid:durableId="602491281">
    <w:abstractNumId w:val="14"/>
  </w:num>
  <w:num w:numId="9" w16cid:durableId="1221984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573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288211">
    <w:abstractNumId w:val="4"/>
  </w:num>
  <w:num w:numId="12" w16cid:durableId="1990094417">
    <w:abstractNumId w:val="0"/>
  </w:num>
  <w:num w:numId="13" w16cid:durableId="2073657106">
    <w:abstractNumId w:val="5"/>
  </w:num>
  <w:num w:numId="14" w16cid:durableId="1315983941">
    <w:abstractNumId w:val="10"/>
  </w:num>
  <w:num w:numId="15" w16cid:durableId="1806773995">
    <w:abstractNumId w:val="9"/>
  </w:num>
  <w:num w:numId="16" w16cid:durableId="1565023292">
    <w:abstractNumId w:val="8"/>
  </w:num>
  <w:num w:numId="17" w16cid:durableId="6161840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ANNA MARIE PORTALE">
    <w15:presenceInfo w15:providerId="AD" w15:userId="S::portale@wisc.edu::f9bb4ca2-ad09-4c0b-85cc-944e143be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CE"/>
    <w:rsid w:val="00040D31"/>
    <w:rsid w:val="000F0666"/>
    <w:rsid w:val="00143CAB"/>
    <w:rsid w:val="0019716A"/>
    <w:rsid w:val="0024322B"/>
    <w:rsid w:val="00266EE0"/>
    <w:rsid w:val="003335BD"/>
    <w:rsid w:val="00344471"/>
    <w:rsid w:val="003E5044"/>
    <w:rsid w:val="004D2032"/>
    <w:rsid w:val="004D629D"/>
    <w:rsid w:val="00500CCE"/>
    <w:rsid w:val="005E7B61"/>
    <w:rsid w:val="006612C8"/>
    <w:rsid w:val="00676EC7"/>
    <w:rsid w:val="006C421D"/>
    <w:rsid w:val="006C4C88"/>
    <w:rsid w:val="00737603"/>
    <w:rsid w:val="007C10C2"/>
    <w:rsid w:val="008045CE"/>
    <w:rsid w:val="0082775C"/>
    <w:rsid w:val="00832DF8"/>
    <w:rsid w:val="0085215E"/>
    <w:rsid w:val="0086406D"/>
    <w:rsid w:val="00880181"/>
    <w:rsid w:val="00885735"/>
    <w:rsid w:val="008B5559"/>
    <w:rsid w:val="00967431"/>
    <w:rsid w:val="00A870FA"/>
    <w:rsid w:val="00AC785F"/>
    <w:rsid w:val="00B6357D"/>
    <w:rsid w:val="00B67BAE"/>
    <w:rsid w:val="00CA7972"/>
    <w:rsid w:val="00CF1999"/>
    <w:rsid w:val="00D54DEB"/>
    <w:rsid w:val="00D92F05"/>
    <w:rsid w:val="00DD103A"/>
    <w:rsid w:val="00DE4F3C"/>
    <w:rsid w:val="00E06406"/>
    <w:rsid w:val="00E102F3"/>
    <w:rsid w:val="00E316C6"/>
    <w:rsid w:val="00EB2E6B"/>
    <w:rsid w:val="00EC73C6"/>
    <w:rsid w:val="00F531A0"/>
    <w:rsid w:val="00FE7E66"/>
    <w:rsid w:val="00F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559D"/>
  <w15:chartTrackingRefBased/>
  <w15:docId w15:val="{67E81A06-FA82-4BBE-BE6C-573BC4CA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CE"/>
    <w:pPr>
      <w:ind w:left="720"/>
      <w:contextualSpacing/>
    </w:pPr>
  </w:style>
  <w:style w:type="character" w:styleId="Hyperlink">
    <w:name w:val="Hyperlink"/>
    <w:basedOn w:val="DefaultParagraphFont"/>
    <w:uiPriority w:val="99"/>
    <w:unhideWhenUsed/>
    <w:rsid w:val="008045CE"/>
    <w:rPr>
      <w:color w:val="0563C1" w:themeColor="hyperlink"/>
      <w:u w:val="single"/>
    </w:rPr>
  </w:style>
  <w:style w:type="table" w:styleId="TableGrid">
    <w:name w:val="Table Grid"/>
    <w:basedOn w:val="TableNormal"/>
    <w:uiPriority w:val="39"/>
    <w:rsid w:val="008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5C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A7972"/>
    <w:rPr>
      <w:color w:val="954F72" w:themeColor="followedHyperlink"/>
      <w:u w:val="single"/>
    </w:rPr>
  </w:style>
  <w:style w:type="character" w:styleId="UnresolvedMention">
    <w:name w:val="Unresolved Mention"/>
    <w:basedOn w:val="DefaultParagraphFont"/>
    <w:uiPriority w:val="99"/>
    <w:semiHidden/>
    <w:unhideWhenUsed/>
    <w:rsid w:val="00143CAB"/>
    <w:rPr>
      <w:color w:val="605E5C"/>
      <w:shd w:val="clear" w:color="auto" w:fill="E1DFDD"/>
    </w:rPr>
  </w:style>
  <w:style w:type="character" w:styleId="CommentReference">
    <w:name w:val="annotation reference"/>
    <w:basedOn w:val="DefaultParagraphFont"/>
    <w:uiPriority w:val="99"/>
    <w:semiHidden/>
    <w:unhideWhenUsed/>
    <w:rsid w:val="005E7B61"/>
    <w:rPr>
      <w:sz w:val="16"/>
      <w:szCs w:val="16"/>
    </w:rPr>
  </w:style>
  <w:style w:type="paragraph" w:styleId="CommentText">
    <w:name w:val="annotation text"/>
    <w:basedOn w:val="Normal"/>
    <w:link w:val="CommentTextChar"/>
    <w:uiPriority w:val="99"/>
    <w:semiHidden/>
    <w:unhideWhenUsed/>
    <w:rsid w:val="005E7B61"/>
    <w:pPr>
      <w:spacing w:line="240" w:lineRule="auto"/>
    </w:pPr>
    <w:rPr>
      <w:sz w:val="20"/>
      <w:szCs w:val="20"/>
    </w:rPr>
  </w:style>
  <w:style w:type="character" w:customStyle="1" w:styleId="CommentTextChar">
    <w:name w:val="Comment Text Char"/>
    <w:basedOn w:val="DefaultParagraphFont"/>
    <w:link w:val="CommentText"/>
    <w:uiPriority w:val="99"/>
    <w:semiHidden/>
    <w:rsid w:val="005E7B61"/>
    <w:rPr>
      <w:sz w:val="20"/>
      <w:szCs w:val="20"/>
    </w:rPr>
  </w:style>
  <w:style w:type="paragraph" w:styleId="CommentSubject">
    <w:name w:val="annotation subject"/>
    <w:basedOn w:val="CommentText"/>
    <w:next w:val="CommentText"/>
    <w:link w:val="CommentSubjectChar"/>
    <w:uiPriority w:val="99"/>
    <w:semiHidden/>
    <w:unhideWhenUsed/>
    <w:rsid w:val="005E7B61"/>
    <w:rPr>
      <w:b/>
      <w:bCs/>
    </w:rPr>
  </w:style>
  <w:style w:type="character" w:customStyle="1" w:styleId="CommentSubjectChar">
    <w:name w:val="Comment Subject Char"/>
    <w:basedOn w:val="CommentTextChar"/>
    <w:link w:val="CommentSubject"/>
    <w:uiPriority w:val="99"/>
    <w:semiHidden/>
    <w:rsid w:val="005E7B61"/>
    <w:rPr>
      <w:b/>
      <w:bCs/>
      <w:sz w:val="20"/>
      <w:szCs w:val="20"/>
    </w:rPr>
  </w:style>
  <w:style w:type="paragraph" w:styleId="BalloonText">
    <w:name w:val="Balloon Text"/>
    <w:basedOn w:val="Normal"/>
    <w:link w:val="BalloonTextChar"/>
    <w:uiPriority w:val="99"/>
    <w:semiHidden/>
    <w:unhideWhenUsed/>
    <w:rsid w:val="00D9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05"/>
    <w:rPr>
      <w:rFonts w:ascii="Segoe UI" w:hAnsi="Segoe UI" w:cs="Segoe UI"/>
      <w:sz w:val="18"/>
      <w:szCs w:val="18"/>
    </w:rPr>
  </w:style>
  <w:style w:type="paragraph" w:styleId="NoSpacing">
    <w:name w:val="No Spacing"/>
    <w:uiPriority w:val="1"/>
    <w:qFormat/>
    <w:rsid w:val="00676EC7"/>
    <w:pPr>
      <w:spacing w:after="0" w:line="240" w:lineRule="auto"/>
    </w:pPr>
    <w:rPr>
      <w:color w:val="44546A" w:themeColor="text2"/>
      <w:sz w:val="20"/>
      <w:szCs w:val="20"/>
    </w:rPr>
  </w:style>
  <w:style w:type="paragraph" w:styleId="NormalWeb">
    <w:name w:val="Normal (Web)"/>
    <w:basedOn w:val="Normal"/>
    <w:uiPriority w:val="99"/>
    <w:unhideWhenUsed/>
    <w:rsid w:val="00F53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537">
      <w:bodyDiv w:val="1"/>
      <w:marLeft w:val="0"/>
      <w:marRight w:val="0"/>
      <w:marTop w:val="0"/>
      <w:marBottom w:val="0"/>
      <w:divBdr>
        <w:top w:val="none" w:sz="0" w:space="0" w:color="auto"/>
        <w:left w:val="none" w:sz="0" w:space="0" w:color="auto"/>
        <w:bottom w:val="none" w:sz="0" w:space="0" w:color="auto"/>
        <w:right w:val="none" w:sz="0" w:space="0" w:color="auto"/>
      </w:divBdr>
      <w:divsChild>
        <w:div w:id="345717571">
          <w:marLeft w:val="360"/>
          <w:marRight w:val="0"/>
          <w:marTop w:val="200"/>
          <w:marBottom w:val="0"/>
          <w:divBdr>
            <w:top w:val="none" w:sz="0" w:space="0" w:color="auto"/>
            <w:left w:val="none" w:sz="0" w:space="0" w:color="auto"/>
            <w:bottom w:val="none" w:sz="0" w:space="0" w:color="auto"/>
            <w:right w:val="none" w:sz="0" w:space="0" w:color="auto"/>
          </w:divBdr>
        </w:div>
      </w:divsChild>
    </w:div>
    <w:div w:id="2854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8B94CB9-8938-40BA-9524-E56CFFCE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7</cp:revision>
  <dcterms:created xsi:type="dcterms:W3CDTF">2022-06-08T02:11:00Z</dcterms:created>
  <dcterms:modified xsi:type="dcterms:W3CDTF">2022-06-29T17:58:00Z</dcterms:modified>
</cp:coreProperties>
</file>