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2D23" w14:textId="77777777" w:rsidR="00FF3793" w:rsidRPr="00F20AD5" w:rsidRDefault="00B63438" w:rsidP="00FF3793">
      <w:pPr>
        <w:rPr>
          <w:b/>
        </w:rPr>
      </w:pPr>
      <w:r>
        <w:rPr>
          <w:b/>
        </w:rPr>
        <w:t>Power</w:t>
      </w:r>
      <w:r w:rsidR="00AE26F6">
        <w:rPr>
          <w:b/>
        </w:rPr>
        <w:t xml:space="preserve">, Part </w:t>
      </w:r>
      <w:r>
        <w:rPr>
          <w:b/>
        </w:rPr>
        <w:t>2- Moving into action</w:t>
      </w:r>
    </w:p>
    <w:p w14:paraId="178A6964"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33F9D45B" w14:textId="1DA5229B" w:rsidR="00F20AD5"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4FA2E282" w14:textId="3ED1A0B0" w:rsidR="00632D38" w:rsidRPr="000A45E0" w:rsidRDefault="00C96508" w:rsidP="00632D38">
      <w:pPr>
        <w:pStyle w:val="ListParagraph"/>
        <w:numPr>
          <w:ilvl w:val="0"/>
          <w:numId w:val="29"/>
        </w:numPr>
        <w:rPr>
          <w:rFonts w:cstheme="minorHAnsi"/>
        </w:rPr>
      </w:pPr>
      <w:r>
        <w:rPr>
          <w:rFonts w:cstheme="minorHAnsi"/>
        </w:rPr>
        <w:t xml:space="preserve">Examine </w:t>
      </w:r>
      <w:r w:rsidRPr="000A45E0">
        <w:rPr>
          <w:rFonts w:cstheme="minorHAnsi"/>
        </w:rPr>
        <w:t>systems of power that impact the health of our patients</w:t>
      </w:r>
    </w:p>
    <w:p w14:paraId="0B0E63E5" w14:textId="4BE42791" w:rsidR="00C96508" w:rsidRPr="000A45E0" w:rsidRDefault="00C96508" w:rsidP="00632D38">
      <w:pPr>
        <w:pStyle w:val="ListParagraph"/>
        <w:numPr>
          <w:ilvl w:val="0"/>
          <w:numId w:val="29"/>
        </w:numPr>
        <w:rPr>
          <w:rFonts w:cstheme="minorHAnsi"/>
        </w:rPr>
      </w:pPr>
      <w:r w:rsidRPr="000A45E0">
        <w:rPr>
          <w:rFonts w:cstheme="minorHAnsi"/>
        </w:rPr>
        <w:t>Diagram their</w:t>
      </w:r>
      <w:r w:rsidR="0043701F">
        <w:rPr>
          <w:rFonts w:cstheme="minorHAnsi"/>
        </w:rPr>
        <w:t xml:space="preserve"> own</w:t>
      </w:r>
      <w:r w:rsidRPr="000A45E0">
        <w:rPr>
          <w:rFonts w:cstheme="minorHAnsi"/>
        </w:rPr>
        <w:t xml:space="preserve"> </w:t>
      </w:r>
      <w:r w:rsidR="0043701F">
        <w:rPr>
          <w:rFonts w:cstheme="minorHAnsi"/>
        </w:rPr>
        <w:t>personal circles</w:t>
      </w:r>
      <w:r w:rsidRPr="000A45E0">
        <w:rPr>
          <w:rFonts w:cstheme="minorHAnsi"/>
        </w:rPr>
        <w:t xml:space="preserve"> of influence</w:t>
      </w:r>
    </w:p>
    <w:p w14:paraId="06DDA749" w14:textId="63C9E5FB" w:rsidR="000A45E0" w:rsidRPr="000A45E0" w:rsidRDefault="00CB1B12" w:rsidP="000A45E0">
      <w:pPr>
        <w:pStyle w:val="ListParagraph"/>
        <w:numPr>
          <w:ilvl w:val="0"/>
          <w:numId w:val="29"/>
        </w:numPr>
        <w:rPr>
          <w:rFonts w:cstheme="minorHAnsi"/>
        </w:rPr>
      </w:pPr>
      <w:r w:rsidRPr="000A45E0">
        <w:rPr>
          <w:rFonts w:cstheme="minorHAnsi"/>
        </w:rPr>
        <w:t xml:space="preserve">Formulate at least 1 SMART goal </w:t>
      </w:r>
      <w:r w:rsidRPr="000A45E0">
        <w:rPr>
          <w:rFonts w:cstheme="minorHAnsi"/>
          <w:color w:val="000000" w:themeColor="text1"/>
        </w:rPr>
        <w:t>describing</w:t>
      </w:r>
      <w:r w:rsidR="00632D38" w:rsidRPr="000A45E0">
        <w:rPr>
          <w:rFonts w:cstheme="minorHAnsi"/>
          <w:color w:val="000000" w:themeColor="text1"/>
        </w:rPr>
        <w:t xml:space="preserve"> how</w:t>
      </w:r>
      <w:r w:rsidRPr="000A45E0">
        <w:rPr>
          <w:rFonts w:cstheme="minorHAnsi"/>
          <w:color w:val="000000" w:themeColor="text1"/>
        </w:rPr>
        <w:t xml:space="preserve"> their circles of influence</w:t>
      </w:r>
      <w:r w:rsidR="00632D38" w:rsidRPr="000A45E0">
        <w:rPr>
          <w:rFonts w:cstheme="minorHAnsi"/>
          <w:color w:val="000000" w:themeColor="text1"/>
        </w:rPr>
        <w:t xml:space="preserve"> can be leveraged to redistribute power</w:t>
      </w:r>
      <w:r w:rsidR="000A45E0" w:rsidRPr="000A45E0">
        <w:rPr>
          <w:rFonts w:cstheme="minorHAnsi"/>
          <w:color w:val="000000" w:themeColor="text1"/>
        </w:rPr>
        <w:t xml:space="preserve">. (A SMART goal is: </w:t>
      </w:r>
      <w:r w:rsidR="000A45E0" w:rsidRPr="000A45E0">
        <w:rPr>
          <w:rFonts w:eastAsia="Times New Roman" w:cstheme="minorHAnsi"/>
          <w:color w:val="000000" w:themeColor="text1"/>
          <w:sz w:val="21"/>
          <w:szCs w:val="21"/>
          <w:shd w:val="clear" w:color="auto" w:fill="FFFFFF"/>
        </w:rPr>
        <w:t>Specific, Measurable, Achievable, Realistic, and Timely.)</w:t>
      </w:r>
    </w:p>
    <w:p w14:paraId="442CEEB5" w14:textId="77777777" w:rsidR="000A45E0" w:rsidRPr="000A45E0" w:rsidRDefault="000A45E0" w:rsidP="000A45E0">
      <w:pPr>
        <w:ind w:left="360"/>
        <w:rPr>
          <w:rFonts w:cstheme="minorHAnsi"/>
        </w:rPr>
      </w:pPr>
    </w:p>
    <w:p w14:paraId="2C36F4CF" w14:textId="77777777" w:rsidR="00CB1B12" w:rsidRPr="000A45E0" w:rsidRDefault="00CB1B12" w:rsidP="00F20AD5">
      <w:pPr>
        <w:rPr>
          <w:rFonts w:cstheme="minorHAnsi"/>
          <w:iCs/>
        </w:rPr>
      </w:pPr>
    </w:p>
    <w:p w14:paraId="12547549" w14:textId="27CADAC1" w:rsidR="00F20AD5" w:rsidRPr="00891EFF" w:rsidRDefault="00F20AD5" w:rsidP="00F20AD5">
      <w:pPr>
        <w:rPr>
          <w:rFonts w:cstheme="minorHAnsi"/>
          <w:i/>
          <w:u w:val="single"/>
        </w:rPr>
      </w:pPr>
      <w:r w:rsidRPr="00891EFF">
        <w:rPr>
          <w:rFonts w:cstheme="minorHAnsi"/>
          <w:i/>
          <w:u w:val="single"/>
        </w:rPr>
        <w:t>Preparatory Work:</w:t>
      </w:r>
      <w:bookmarkStart w:id="0" w:name="_GoBack"/>
      <w:bookmarkEnd w:id="0"/>
    </w:p>
    <w:p w14:paraId="4D243D46" w14:textId="77777777" w:rsidR="00F20AD5" w:rsidRDefault="00F20AD5" w:rsidP="00F20AD5">
      <w:pPr>
        <w:rPr>
          <w:rFonts w:cstheme="minorHAnsi"/>
        </w:rPr>
      </w:pPr>
      <w:r w:rsidRPr="00891EFF">
        <w:rPr>
          <w:rFonts w:cstheme="minorHAnsi"/>
        </w:rPr>
        <w:t>Prior to attending the session, learners have been asked to:</w:t>
      </w:r>
    </w:p>
    <w:p w14:paraId="024F7269" w14:textId="77777777" w:rsidR="00B63438" w:rsidRPr="00B63438" w:rsidRDefault="00B63438" w:rsidP="00B63438">
      <w:pPr>
        <w:rPr>
          <w:rFonts w:cstheme="minorHAnsi"/>
          <w:i/>
        </w:rPr>
      </w:pPr>
      <w:r>
        <w:rPr>
          <w:rFonts w:cstheme="minorHAnsi"/>
        </w:rPr>
        <w:t xml:space="preserve">Review video from last session (if missed) and come prepared to discuss: </w:t>
      </w:r>
      <w:r w:rsidRPr="00B63438">
        <w:rPr>
          <w:i/>
        </w:rPr>
        <w:t>How can the “laws of power” be leveraged to place more power (as it relates to the health care system in particular) in the hands of those who are oppressed?</w:t>
      </w:r>
    </w:p>
    <w:p w14:paraId="3CE4E0AA" w14:textId="77777777" w:rsidR="00B63438" w:rsidRDefault="00B63438" w:rsidP="00B63438">
      <w:pPr>
        <w:pStyle w:val="ListParagraph"/>
        <w:numPr>
          <w:ilvl w:val="0"/>
          <w:numId w:val="27"/>
        </w:numPr>
        <w:spacing w:after="0" w:line="240" w:lineRule="auto"/>
        <w:contextualSpacing w:val="0"/>
        <w:rPr>
          <w:rFonts w:eastAsia="Times New Roman"/>
        </w:rPr>
      </w:pPr>
      <w:r>
        <w:rPr>
          <w:rFonts w:eastAsia="Times New Roman"/>
        </w:rPr>
        <w:t xml:space="preserve">Video: </w:t>
      </w:r>
      <w:hyperlink r:id="rId6" w:history="1">
        <w:r>
          <w:rPr>
            <w:rStyle w:val="Hyperlink"/>
            <w:rFonts w:eastAsia="Times New Roman"/>
          </w:rPr>
          <w:t>https://www.youtube.com/watch?v=c_Eutci7ack&amp;t=190s</w:t>
        </w:r>
      </w:hyperlink>
      <w:r>
        <w:rPr>
          <w:rFonts w:eastAsia="Times New Roman"/>
        </w:rPr>
        <w:t xml:space="preserve"> (How to understand power, Eric Liu)</w:t>
      </w:r>
    </w:p>
    <w:p w14:paraId="338BAE48" w14:textId="77777777" w:rsidR="001F11E8" w:rsidRPr="00891EFF" w:rsidRDefault="001F11E8" w:rsidP="001D7EBA">
      <w:pPr>
        <w:rPr>
          <w:rFonts w:cstheme="minorHAnsi"/>
          <w:i/>
          <w:u w:val="single"/>
        </w:rPr>
      </w:pPr>
    </w:p>
    <w:p w14:paraId="10A9C671" w14:textId="77777777" w:rsidR="00EE6C86" w:rsidRDefault="001D7EBA">
      <w:pPr>
        <w:rPr>
          <w:rFonts w:cstheme="minorHAnsi"/>
          <w:i/>
          <w:u w:val="single"/>
        </w:rPr>
      </w:pPr>
      <w:r>
        <w:rPr>
          <w:rFonts w:cstheme="minorHAnsi"/>
          <w:i/>
          <w:u w:val="single"/>
        </w:rPr>
        <w:t>In Session Facilitator Guide</w:t>
      </w:r>
    </w:p>
    <w:tbl>
      <w:tblPr>
        <w:tblStyle w:val="TableGrid"/>
        <w:tblW w:w="13585" w:type="dxa"/>
        <w:tblLook w:val="04A0" w:firstRow="1" w:lastRow="0" w:firstColumn="1" w:lastColumn="0" w:noHBand="0" w:noVBand="1"/>
      </w:tblPr>
      <w:tblGrid>
        <w:gridCol w:w="1027"/>
        <w:gridCol w:w="1151"/>
        <w:gridCol w:w="8530"/>
        <w:gridCol w:w="1528"/>
        <w:gridCol w:w="1349"/>
      </w:tblGrid>
      <w:tr w:rsidR="00A5654F" w14:paraId="46DB99E9" w14:textId="77777777" w:rsidTr="00A5654F">
        <w:tc>
          <w:tcPr>
            <w:tcW w:w="1027" w:type="dxa"/>
          </w:tcPr>
          <w:p w14:paraId="5C2E9F10" w14:textId="77777777" w:rsidR="00A5654F" w:rsidRPr="001D7EBA" w:rsidRDefault="00A5654F" w:rsidP="00C44B1F">
            <w:pPr>
              <w:jc w:val="center"/>
              <w:rPr>
                <w:rFonts w:cstheme="minorHAnsi"/>
                <w:b/>
              </w:rPr>
            </w:pPr>
            <w:r w:rsidRPr="001D7EBA">
              <w:rPr>
                <w:rFonts w:cstheme="minorHAnsi"/>
                <w:b/>
              </w:rPr>
              <w:t>Duration</w:t>
            </w:r>
          </w:p>
        </w:tc>
        <w:tc>
          <w:tcPr>
            <w:tcW w:w="1121" w:type="dxa"/>
          </w:tcPr>
          <w:p w14:paraId="039903A1" w14:textId="77777777" w:rsidR="00A5654F" w:rsidRPr="001D7EBA" w:rsidRDefault="00A5654F" w:rsidP="00C44B1F">
            <w:pPr>
              <w:jc w:val="center"/>
              <w:rPr>
                <w:rFonts w:cstheme="minorHAnsi"/>
                <w:b/>
              </w:rPr>
            </w:pPr>
            <w:r w:rsidRPr="001D7EBA">
              <w:rPr>
                <w:rFonts w:cstheme="minorHAnsi"/>
                <w:b/>
              </w:rPr>
              <w:t>Format</w:t>
            </w:r>
          </w:p>
        </w:tc>
        <w:tc>
          <w:tcPr>
            <w:tcW w:w="8557" w:type="dxa"/>
          </w:tcPr>
          <w:p w14:paraId="202CF0A9" w14:textId="77777777" w:rsidR="00A5654F" w:rsidRPr="001D7EBA" w:rsidRDefault="00A5654F" w:rsidP="00C44B1F">
            <w:pPr>
              <w:jc w:val="center"/>
              <w:rPr>
                <w:rFonts w:cstheme="minorHAnsi"/>
                <w:b/>
              </w:rPr>
            </w:pPr>
            <w:r w:rsidRPr="001D7EBA">
              <w:rPr>
                <w:rFonts w:cstheme="minorHAnsi"/>
                <w:b/>
              </w:rPr>
              <w:t>Activity</w:t>
            </w:r>
          </w:p>
        </w:tc>
        <w:tc>
          <w:tcPr>
            <w:tcW w:w="1530" w:type="dxa"/>
          </w:tcPr>
          <w:p w14:paraId="77194D92" w14:textId="77777777" w:rsidR="00A5654F" w:rsidRPr="001D7EBA" w:rsidRDefault="00A5654F" w:rsidP="00C44B1F">
            <w:pPr>
              <w:jc w:val="center"/>
              <w:rPr>
                <w:rFonts w:cstheme="minorHAnsi"/>
                <w:b/>
              </w:rPr>
            </w:pPr>
            <w:r>
              <w:rPr>
                <w:rFonts w:cstheme="minorHAnsi"/>
                <w:b/>
              </w:rPr>
              <w:t>Materials Required</w:t>
            </w:r>
          </w:p>
        </w:tc>
        <w:tc>
          <w:tcPr>
            <w:tcW w:w="1350" w:type="dxa"/>
          </w:tcPr>
          <w:p w14:paraId="20C1D380" w14:textId="77777777" w:rsidR="00A5654F" w:rsidRDefault="00A5654F" w:rsidP="00C44B1F">
            <w:pPr>
              <w:jc w:val="center"/>
              <w:rPr>
                <w:rFonts w:cstheme="minorHAnsi"/>
                <w:b/>
              </w:rPr>
            </w:pPr>
            <w:r>
              <w:rPr>
                <w:rFonts w:cstheme="minorHAnsi"/>
                <w:b/>
              </w:rPr>
              <w:t>Optional Materials to Offer</w:t>
            </w:r>
          </w:p>
        </w:tc>
      </w:tr>
      <w:tr w:rsidR="00A5654F" w14:paraId="6FA2D23C" w14:textId="77777777" w:rsidTr="00FF227D">
        <w:trPr>
          <w:trHeight w:val="91"/>
        </w:trPr>
        <w:tc>
          <w:tcPr>
            <w:tcW w:w="1027" w:type="dxa"/>
          </w:tcPr>
          <w:p w14:paraId="71AC5343" w14:textId="77777777" w:rsidR="00A5654F" w:rsidRPr="00893DA3" w:rsidRDefault="005C0D7F" w:rsidP="00893DA3">
            <w:pPr>
              <w:rPr>
                <w:rFonts w:cstheme="minorHAnsi"/>
              </w:rPr>
            </w:pPr>
            <w:r>
              <w:rPr>
                <w:rFonts w:cstheme="minorHAnsi"/>
              </w:rPr>
              <w:t>&lt;5min</w:t>
            </w:r>
          </w:p>
        </w:tc>
        <w:tc>
          <w:tcPr>
            <w:tcW w:w="1121" w:type="dxa"/>
          </w:tcPr>
          <w:p w14:paraId="7B032673" w14:textId="77777777" w:rsidR="00A5654F" w:rsidRPr="00893DA3" w:rsidRDefault="005C0D7F" w:rsidP="00893DA3">
            <w:pPr>
              <w:rPr>
                <w:rFonts w:cstheme="minorHAnsi"/>
              </w:rPr>
            </w:pPr>
            <w:r>
              <w:rPr>
                <w:rFonts w:cstheme="minorHAnsi"/>
              </w:rPr>
              <w:t>Large Group Discussion</w:t>
            </w:r>
          </w:p>
        </w:tc>
        <w:tc>
          <w:tcPr>
            <w:tcW w:w="8557" w:type="dxa"/>
          </w:tcPr>
          <w:p w14:paraId="42E70662" w14:textId="77777777" w:rsidR="006B5352" w:rsidRDefault="006B5352" w:rsidP="00103935">
            <w:pPr>
              <w:rPr>
                <w:rFonts w:cstheme="minorHAnsi"/>
              </w:rPr>
            </w:pPr>
            <w:r>
              <w:rPr>
                <w:rFonts w:cstheme="minorHAnsi"/>
              </w:rPr>
              <w:t>Brief welcome and check in with the group:</w:t>
            </w:r>
          </w:p>
          <w:p w14:paraId="33ECBA24" w14:textId="77777777" w:rsidR="006B5352" w:rsidRDefault="006B5352" w:rsidP="006B5352">
            <w:pPr>
              <w:pStyle w:val="ListParagraph"/>
              <w:numPr>
                <w:ilvl w:val="0"/>
                <w:numId w:val="23"/>
              </w:numPr>
              <w:rPr>
                <w:rFonts w:cstheme="minorHAnsi"/>
              </w:rPr>
            </w:pPr>
            <w:r>
              <w:rPr>
                <w:rFonts w:cstheme="minorHAnsi"/>
              </w:rPr>
              <w:t>Any hanging questions or comments from last week?</w:t>
            </w:r>
          </w:p>
          <w:p w14:paraId="1BADB712" w14:textId="7F7AE613" w:rsidR="00737E43" w:rsidRPr="00737E43" w:rsidRDefault="00B63438" w:rsidP="00737E43">
            <w:pPr>
              <w:pStyle w:val="ListParagraph"/>
              <w:numPr>
                <w:ilvl w:val="0"/>
                <w:numId w:val="23"/>
              </w:numPr>
              <w:rPr>
                <w:rFonts w:cstheme="minorHAnsi"/>
              </w:rPr>
            </w:pPr>
            <w:r>
              <w:rPr>
                <w:rFonts w:cstheme="minorHAnsi"/>
              </w:rPr>
              <w:t>Create space for any current events that need to be discussed.</w:t>
            </w:r>
          </w:p>
        </w:tc>
        <w:tc>
          <w:tcPr>
            <w:tcW w:w="1530" w:type="dxa"/>
          </w:tcPr>
          <w:p w14:paraId="7254E5A8" w14:textId="77777777" w:rsidR="00A5654F" w:rsidRPr="00893DA3" w:rsidRDefault="00A5654F" w:rsidP="00893DA3">
            <w:pPr>
              <w:rPr>
                <w:rFonts w:cstheme="minorHAnsi"/>
              </w:rPr>
            </w:pPr>
          </w:p>
        </w:tc>
        <w:tc>
          <w:tcPr>
            <w:tcW w:w="1350" w:type="dxa"/>
          </w:tcPr>
          <w:p w14:paraId="3DFB601B" w14:textId="77777777" w:rsidR="00A5654F" w:rsidRPr="00893DA3" w:rsidRDefault="00A5654F" w:rsidP="00893DA3">
            <w:pPr>
              <w:rPr>
                <w:rFonts w:cstheme="minorHAnsi"/>
              </w:rPr>
            </w:pPr>
          </w:p>
        </w:tc>
      </w:tr>
      <w:tr w:rsidR="00A5654F" w14:paraId="4323B67C" w14:textId="77777777" w:rsidTr="00A5654F">
        <w:tc>
          <w:tcPr>
            <w:tcW w:w="1027" w:type="dxa"/>
          </w:tcPr>
          <w:p w14:paraId="54682D40" w14:textId="77777777" w:rsidR="00A5654F" w:rsidRPr="00893DA3" w:rsidRDefault="00477214" w:rsidP="00893DA3">
            <w:pPr>
              <w:rPr>
                <w:rFonts w:cstheme="minorHAnsi"/>
              </w:rPr>
            </w:pPr>
            <w:r>
              <w:rPr>
                <w:rFonts w:cstheme="minorHAnsi"/>
              </w:rPr>
              <w:t>8</w:t>
            </w:r>
            <w:r w:rsidR="00B63438">
              <w:rPr>
                <w:rFonts w:cstheme="minorHAnsi"/>
              </w:rPr>
              <w:t xml:space="preserve"> min</w:t>
            </w:r>
          </w:p>
        </w:tc>
        <w:tc>
          <w:tcPr>
            <w:tcW w:w="1121" w:type="dxa"/>
          </w:tcPr>
          <w:p w14:paraId="21B314AD" w14:textId="77777777" w:rsidR="00A5654F" w:rsidRDefault="00B63438" w:rsidP="00893DA3">
            <w:pPr>
              <w:rPr>
                <w:rFonts w:cstheme="minorHAnsi"/>
              </w:rPr>
            </w:pPr>
            <w:r>
              <w:rPr>
                <w:rFonts w:cstheme="minorHAnsi"/>
              </w:rPr>
              <w:t>Pair Share</w:t>
            </w:r>
          </w:p>
          <w:p w14:paraId="3B9CC7FE" w14:textId="2FC27426" w:rsidR="005F36F4" w:rsidRPr="00893DA3" w:rsidRDefault="005F36F4" w:rsidP="00893DA3">
            <w:pPr>
              <w:rPr>
                <w:rFonts w:cstheme="minorHAnsi"/>
              </w:rPr>
            </w:pPr>
            <w:r>
              <w:rPr>
                <w:rFonts w:cstheme="minorHAnsi"/>
              </w:rPr>
              <w:t xml:space="preserve">Can show </w:t>
            </w:r>
            <w:proofErr w:type="spellStart"/>
            <w:r>
              <w:rPr>
                <w:rFonts w:cstheme="minorHAnsi"/>
              </w:rPr>
              <w:t>PPt</w:t>
            </w:r>
            <w:proofErr w:type="spellEnd"/>
            <w:r>
              <w:rPr>
                <w:rFonts w:cstheme="minorHAnsi"/>
              </w:rPr>
              <w:t xml:space="preserve"> slide 2 if desired</w:t>
            </w:r>
          </w:p>
        </w:tc>
        <w:tc>
          <w:tcPr>
            <w:tcW w:w="8557" w:type="dxa"/>
          </w:tcPr>
          <w:p w14:paraId="08B129A7" w14:textId="77777777" w:rsidR="00AE2CBC" w:rsidRDefault="00B63438" w:rsidP="003800A6">
            <w:pPr>
              <w:spacing w:before="100" w:beforeAutospacing="1" w:after="100" w:afterAutospacing="1"/>
              <w:rPr>
                <w:rFonts w:eastAsia="Times New Roman" w:cstheme="minorHAnsi"/>
                <w:sz w:val="23"/>
                <w:szCs w:val="23"/>
              </w:rPr>
            </w:pPr>
            <w:r>
              <w:rPr>
                <w:rFonts w:eastAsia="Times New Roman" w:cstheme="minorHAnsi"/>
                <w:sz w:val="23"/>
                <w:szCs w:val="23"/>
              </w:rPr>
              <w:t>Ask each pair to identify who will report back.</w:t>
            </w:r>
          </w:p>
          <w:p w14:paraId="0F979EFF" w14:textId="77777777" w:rsidR="00B63438" w:rsidRDefault="00B63438" w:rsidP="003800A6">
            <w:pPr>
              <w:spacing w:before="100" w:beforeAutospacing="1" w:after="100" w:afterAutospacing="1"/>
              <w:rPr>
                <w:rFonts w:eastAsia="Times New Roman" w:cstheme="minorHAnsi"/>
                <w:sz w:val="23"/>
                <w:szCs w:val="23"/>
              </w:rPr>
            </w:pPr>
            <w:r>
              <w:rPr>
                <w:rFonts w:eastAsia="Times New Roman" w:cstheme="minorHAnsi"/>
                <w:sz w:val="23"/>
                <w:szCs w:val="23"/>
              </w:rPr>
              <w:t>Encourage to relate to our history sessions, other existing knowledge, and lived experiences.</w:t>
            </w:r>
          </w:p>
          <w:p w14:paraId="46BB605F" w14:textId="77777777" w:rsidR="00477214" w:rsidRDefault="00477214" w:rsidP="00B63438">
            <w:pPr>
              <w:spacing w:before="100" w:beforeAutospacing="1" w:after="100" w:afterAutospacing="1"/>
              <w:rPr>
                <w:rFonts w:eastAsia="Times New Roman" w:cstheme="minorHAnsi"/>
                <w:i/>
                <w:sz w:val="23"/>
                <w:szCs w:val="23"/>
              </w:rPr>
            </w:pPr>
            <w:r>
              <w:rPr>
                <w:rFonts w:eastAsia="Times New Roman" w:cstheme="minorHAnsi"/>
                <w:i/>
                <w:sz w:val="23"/>
                <w:szCs w:val="23"/>
              </w:rPr>
              <w:lastRenderedPageBreak/>
              <w:t>When it comes to systems that relate to the health of our patients…</w:t>
            </w:r>
          </w:p>
          <w:p w14:paraId="1D6CFE25" w14:textId="77777777" w:rsidR="00BC226B" w:rsidRPr="00477214" w:rsidRDefault="00827E19" w:rsidP="00477214">
            <w:pPr>
              <w:numPr>
                <w:ilvl w:val="0"/>
                <w:numId w:val="28"/>
              </w:numPr>
              <w:spacing w:before="100" w:beforeAutospacing="1" w:after="100" w:afterAutospacing="1"/>
              <w:rPr>
                <w:rFonts w:eastAsia="Times New Roman" w:cstheme="minorHAnsi"/>
                <w:i/>
                <w:sz w:val="23"/>
                <w:szCs w:val="23"/>
              </w:rPr>
            </w:pPr>
            <w:r w:rsidRPr="00477214">
              <w:rPr>
                <w:rFonts w:eastAsia="Times New Roman" w:cstheme="minorHAnsi"/>
                <w:i/>
                <w:sz w:val="23"/>
                <w:szCs w:val="23"/>
              </w:rPr>
              <w:t xml:space="preserve">Why are the systems this way? </w:t>
            </w:r>
          </w:p>
          <w:p w14:paraId="795E9EEA" w14:textId="77777777" w:rsidR="00BC226B" w:rsidRPr="00477214" w:rsidRDefault="00827E19" w:rsidP="00477214">
            <w:pPr>
              <w:numPr>
                <w:ilvl w:val="0"/>
                <w:numId w:val="28"/>
              </w:numPr>
              <w:spacing w:before="100" w:beforeAutospacing="1" w:after="100" w:afterAutospacing="1"/>
              <w:rPr>
                <w:rFonts w:eastAsia="Times New Roman" w:cstheme="minorHAnsi"/>
                <w:i/>
                <w:sz w:val="23"/>
                <w:szCs w:val="23"/>
              </w:rPr>
            </w:pPr>
            <w:r w:rsidRPr="00477214">
              <w:rPr>
                <w:rFonts w:eastAsia="Times New Roman" w:cstheme="minorHAnsi"/>
                <w:i/>
                <w:sz w:val="23"/>
                <w:szCs w:val="23"/>
              </w:rPr>
              <w:t xml:space="preserve">Who made it so? </w:t>
            </w:r>
          </w:p>
          <w:p w14:paraId="3E03702B" w14:textId="77777777" w:rsidR="00E24E75" w:rsidRPr="00477214" w:rsidRDefault="00827E19" w:rsidP="00B63438">
            <w:pPr>
              <w:numPr>
                <w:ilvl w:val="0"/>
                <w:numId w:val="28"/>
              </w:numPr>
              <w:spacing w:before="100" w:beforeAutospacing="1" w:after="100" w:afterAutospacing="1"/>
              <w:rPr>
                <w:rFonts w:eastAsia="Times New Roman" w:cstheme="minorHAnsi"/>
                <w:sz w:val="23"/>
                <w:szCs w:val="23"/>
              </w:rPr>
            </w:pPr>
            <w:r w:rsidRPr="00477214">
              <w:rPr>
                <w:rFonts w:eastAsia="Times New Roman" w:cstheme="minorHAnsi"/>
                <w:i/>
                <w:sz w:val="23"/>
                <w:szCs w:val="23"/>
              </w:rPr>
              <w:t>Who wants to keep it so?</w:t>
            </w:r>
          </w:p>
        </w:tc>
        <w:tc>
          <w:tcPr>
            <w:tcW w:w="1530" w:type="dxa"/>
          </w:tcPr>
          <w:p w14:paraId="24F2F086" w14:textId="77777777" w:rsidR="003800A6" w:rsidRPr="00893DA3" w:rsidRDefault="003800A6" w:rsidP="00893DA3">
            <w:pPr>
              <w:rPr>
                <w:rFonts w:cstheme="minorHAnsi"/>
              </w:rPr>
            </w:pPr>
          </w:p>
        </w:tc>
        <w:tc>
          <w:tcPr>
            <w:tcW w:w="1350" w:type="dxa"/>
          </w:tcPr>
          <w:p w14:paraId="1702026C" w14:textId="77777777" w:rsidR="00A5654F" w:rsidRPr="00893DA3" w:rsidRDefault="00A5654F" w:rsidP="00893DA3">
            <w:pPr>
              <w:rPr>
                <w:rFonts w:cstheme="minorHAnsi"/>
              </w:rPr>
            </w:pPr>
          </w:p>
        </w:tc>
      </w:tr>
      <w:tr w:rsidR="00A5654F" w14:paraId="37488FE2" w14:textId="77777777" w:rsidTr="00A5654F">
        <w:tc>
          <w:tcPr>
            <w:tcW w:w="1027" w:type="dxa"/>
          </w:tcPr>
          <w:p w14:paraId="4C1C974D" w14:textId="77777777" w:rsidR="00A5654F" w:rsidRDefault="00477214" w:rsidP="00893DA3">
            <w:pPr>
              <w:rPr>
                <w:rFonts w:cstheme="minorHAnsi"/>
              </w:rPr>
            </w:pPr>
            <w:r>
              <w:rPr>
                <w:rFonts w:cstheme="minorHAnsi"/>
              </w:rPr>
              <w:t>1</w:t>
            </w:r>
            <w:r w:rsidR="008652F8">
              <w:rPr>
                <w:rFonts w:cstheme="minorHAnsi"/>
              </w:rPr>
              <w:t>0 min</w:t>
            </w:r>
          </w:p>
        </w:tc>
        <w:tc>
          <w:tcPr>
            <w:tcW w:w="1121" w:type="dxa"/>
          </w:tcPr>
          <w:p w14:paraId="7FE54028" w14:textId="77777777" w:rsidR="00A5654F" w:rsidRDefault="00477214" w:rsidP="00893DA3">
            <w:pPr>
              <w:rPr>
                <w:rFonts w:cstheme="minorHAnsi"/>
              </w:rPr>
            </w:pPr>
            <w:r>
              <w:rPr>
                <w:rFonts w:cstheme="minorHAnsi"/>
              </w:rPr>
              <w:t xml:space="preserve">Large group </w:t>
            </w:r>
            <w:r w:rsidR="008652F8">
              <w:rPr>
                <w:rFonts w:cstheme="minorHAnsi"/>
              </w:rPr>
              <w:t>Discussion</w:t>
            </w:r>
          </w:p>
        </w:tc>
        <w:tc>
          <w:tcPr>
            <w:tcW w:w="8557" w:type="dxa"/>
          </w:tcPr>
          <w:p w14:paraId="18DB40E9" w14:textId="77777777" w:rsidR="00BD7B40" w:rsidRDefault="00477214" w:rsidP="00BD7B40">
            <w:pPr>
              <w:spacing w:before="100" w:beforeAutospacing="1" w:after="100" w:afterAutospacing="1"/>
              <w:rPr>
                <w:rFonts w:eastAsia="Times New Roman" w:cstheme="minorHAnsi"/>
                <w:sz w:val="23"/>
                <w:szCs w:val="23"/>
              </w:rPr>
            </w:pPr>
            <w:r>
              <w:rPr>
                <w:rFonts w:eastAsia="Times New Roman" w:cstheme="minorHAnsi"/>
                <w:sz w:val="23"/>
                <w:szCs w:val="23"/>
              </w:rPr>
              <w:t>Pairs report out</w:t>
            </w:r>
          </w:p>
          <w:p w14:paraId="2E55E038" w14:textId="77777777" w:rsidR="00477214" w:rsidRPr="008652F8" w:rsidRDefault="00477214" w:rsidP="00BD7B40">
            <w:pPr>
              <w:spacing w:before="100" w:beforeAutospacing="1" w:after="100" w:afterAutospacing="1"/>
              <w:rPr>
                <w:rFonts w:eastAsia="Times New Roman" w:cstheme="minorHAnsi"/>
                <w:sz w:val="23"/>
                <w:szCs w:val="23"/>
              </w:rPr>
            </w:pPr>
            <w:r>
              <w:rPr>
                <w:rFonts w:eastAsia="Times New Roman" w:cstheme="minorHAnsi"/>
                <w:sz w:val="23"/>
                <w:szCs w:val="23"/>
              </w:rPr>
              <w:t>Relate to current events if applicable</w:t>
            </w:r>
          </w:p>
        </w:tc>
        <w:tc>
          <w:tcPr>
            <w:tcW w:w="1530" w:type="dxa"/>
          </w:tcPr>
          <w:p w14:paraId="2F879950" w14:textId="77777777" w:rsidR="00A5654F" w:rsidRPr="00893DA3" w:rsidRDefault="00A5654F" w:rsidP="00893DA3">
            <w:pPr>
              <w:rPr>
                <w:rFonts w:cstheme="minorHAnsi"/>
              </w:rPr>
            </w:pPr>
          </w:p>
        </w:tc>
        <w:tc>
          <w:tcPr>
            <w:tcW w:w="1350" w:type="dxa"/>
          </w:tcPr>
          <w:p w14:paraId="00116B28" w14:textId="77777777" w:rsidR="00A5654F" w:rsidRPr="00893DA3" w:rsidRDefault="00A5654F" w:rsidP="00893DA3">
            <w:pPr>
              <w:rPr>
                <w:rFonts w:cstheme="minorHAnsi"/>
              </w:rPr>
            </w:pPr>
          </w:p>
        </w:tc>
      </w:tr>
      <w:tr w:rsidR="00A5654F" w14:paraId="75E6AC47" w14:textId="77777777" w:rsidTr="00A5654F">
        <w:tc>
          <w:tcPr>
            <w:tcW w:w="1027" w:type="dxa"/>
          </w:tcPr>
          <w:p w14:paraId="75C4AD56" w14:textId="77777777" w:rsidR="00A5654F" w:rsidRDefault="00477214" w:rsidP="00893DA3">
            <w:pPr>
              <w:rPr>
                <w:rFonts w:cstheme="minorHAnsi"/>
              </w:rPr>
            </w:pPr>
            <w:r>
              <w:rPr>
                <w:rFonts w:cstheme="minorHAnsi"/>
              </w:rPr>
              <w:t>2 min</w:t>
            </w:r>
          </w:p>
        </w:tc>
        <w:tc>
          <w:tcPr>
            <w:tcW w:w="1121" w:type="dxa"/>
          </w:tcPr>
          <w:p w14:paraId="153ABAB9" w14:textId="77777777" w:rsidR="00A5654F" w:rsidRDefault="00477214" w:rsidP="00893DA3">
            <w:pPr>
              <w:rPr>
                <w:rFonts w:cstheme="minorHAnsi"/>
              </w:rPr>
            </w:pPr>
            <w:r>
              <w:rPr>
                <w:rFonts w:cstheme="minorHAnsi"/>
              </w:rPr>
              <w:t>Large group ppt</w:t>
            </w:r>
          </w:p>
        </w:tc>
        <w:tc>
          <w:tcPr>
            <w:tcW w:w="8557" w:type="dxa"/>
          </w:tcPr>
          <w:p w14:paraId="26771E4D" w14:textId="77777777" w:rsidR="002221E6" w:rsidRDefault="00477214" w:rsidP="00893DA3">
            <w:pPr>
              <w:rPr>
                <w:rFonts w:cstheme="minorHAnsi"/>
              </w:rPr>
            </w:pPr>
            <w:r>
              <w:rPr>
                <w:rFonts w:cstheme="minorHAnsi"/>
              </w:rPr>
              <w:t>Introduce Circles of Influence</w:t>
            </w:r>
          </w:p>
          <w:p w14:paraId="152D875B" w14:textId="77777777" w:rsidR="00737E43" w:rsidRDefault="00737E43" w:rsidP="00893DA3">
            <w:pPr>
              <w:rPr>
                <w:rFonts w:cstheme="minorHAnsi"/>
              </w:rPr>
            </w:pPr>
          </w:p>
          <w:p w14:paraId="4DCD86AB" w14:textId="33284D73" w:rsidR="00737E43" w:rsidRDefault="00737E43" w:rsidP="00893DA3">
            <w:pPr>
              <w:rPr>
                <w:rFonts w:cstheme="minorHAnsi"/>
                <w:b/>
              </w:rPr>
            </w:pPr>
            <w:r>
              <w:rPr>
                <w:rFonts w:cstheme="minorHAnsi"/>
                <w:b/>
              </w:rPr>
              <w:t>SLIDE</w:t>
            </w:r>
            <w:r w:rsidR="005F36F4">
              <w:rPr>
                <w:rFonts w:cstheme="minorHAnsi"/>
                <w:b/>
              </w:rPr>
              <w:t>S</w:t>
            </w:r>
            <w:r>
              <w:rPr>
                <w:rFonts w:cstheme="minorHAnsi"/>
                <w:b/>
              </w:rPr>
              <w:t xml:space="preserve"> </w:t>
            </w:r>
            <w:r w:rsidR="005F36F4">
              <w:rPr>
                <w:rFonts w:cstheme="minorHAnsi"/>
                <w:b/>
              </w:rPr>
              <w:t>3-4</w:t>
            </w:r>
          </w:p>
          <w:p w14:paraId="37BC4355" w14:textId="749A6B16" w:rsidR="00737E43" w:rsidRDefault="00737E43" w:rsidP="00737E43">
            <w:pPr>
              <w:rPr>
                <w:rFonts w:cstheme="minorHAnsi"/>
              </w:rPr>
            </w:pPr>
            <w:r w:rsidRPr="00737E43">
              <w:rPr>
                <w:rFonts w:cstheme="minorHAnsi"/>
              </w:rPr>
              <w:t>We have spent much of this year learning.  We must move into action in order to effect change.  Learning and action are both important and necessary.</w:t>
            </w:r>
          </w:p>
          <w:p w14:paraId="630B16F6" w14:textId="77777777" w:rsidR="00737E43" w:rsidRPr="00737E43" w:rsidRDefault="00737E43" w:rsidP="00737E43">
            <w:pPr>
              <w:rPr>
                <w:rFonts w:cstheme="minorHAnsi"/>
              </w:rPr>
            </w:pPr>
          </w:p>
          <w:p w14:paraId="4C6FD810" w14:textId="77777777" w:rsidR="00737E43" w:rsidRPr="00737E43" w:rsidRDefault="00737E43" w:rsidP="00737E43">
            <w:pPr>
              <w:rPr>
                <w:rFonts w:cstheme="minorHAnsi"/>
              </w:rPr>
            </w:pPr>
            <w:r w:rsidRPr="00737E43">
              <w:rPr>
                <w:rFonts w:cstheme="minorHAnsi"/>
              </w:rPr>
              <w:t>To help move toward action, let’s consider this framework of circles of control, influence and concern.  This is largely credited to Stephen Covey, author of “The Seven Habits of Highly Effective People”.  Covey had 2 primary circles, control and concern, but others have added a little more nuance by including the circle of influence and I like this addition a lot– especially for all of us as positions who, whether you like it or not, are in a position where we have more influence and power than many other people experience.</w:t>
            </w:r>
          </w:p>
          <w:p w14:paraId="3E8A9286" w14:textId="77777777" w:rsidR="00737E43" w:rsidRDefault="00737E43" w:rsidP="00737E43">
            <w:pPr>
              <w:rPr>
                <w:rFonts w:cstheme="minorHAnsi"/>
              </w:rPr>
            </w:pPr>
          </w:p>
          <w:p w14:paraId="79C0C2E3" w14:textId="3B7CD1D4" w:rsidR="00737E43" w:rsidRPr="00737E43" w:rsidRDefault="00737E43" w:rsidP="00737E43">
            <w:pPr>
              <w:rPr>
                <w:rFonts w:cstheme="minorHAnsi"/>
              </w:rPr>
            </w:pPr>
            <w:r w:rsidRPr="00737E43">
              <w:rPr>
                <w:rFonts w:cstheme="minorHAnsi"/>
              </w:rPr>
              <w:t xml:space="preserve">The circle of concern are the things we worry about– what concerns us?  </w:t>
            </w:r>
            <w:proofErr w:type="gramStart"/>
            <w:r w:rsidRPr="00737E43">
              <w:rPr>
                <w:rFonts w:cstheme="minorHAnsi"/>
              </w:rPr>
              <w:t>So</w:t>
            </w:r>
            <w:proofErr w:type="gramEnd"/>
            <w:r w:rsidRPr="00737E43">
              <w:rPr>
                <w:rFonts w:cstheme="minorHAnsi"/>
              </w:rPr>
              <w:t xml:space="preserve"> to use this frame of racism, here are some of the things that I think about.  (click through).  This list could go on, because as we have discussed, racism has SO. MANY. Impacts and it is really enmeshed in so many aspects of our society.  If I live in the circle of concern, I will feel overwhelmed and it is difficult to accomplish anything.</w:t>
            </w:r>
          </w:p>
          <w:p w14:paraId="2FBCDB18" w14:textId="77777777" w:rsidR="00737E43" w:rsidRDefault="00737E43" w:rsidP="00737E43">
            <w:pPr>
              <w:rPr>
                <w:rFonts w:cstheme="minorHAnsi"/>
              </w:rPr>
            </w:pPr>
          </w:p>
          <w:p w14:paraId="73017FF0" w14:textId="6523F6B8" w:rsidR="00737E43" w:rsidRPr="00737E43" w:rsidRDefault="00737E43" w:rsidP="00737E43">
            <w:pPr>
              <w:rPr>
                <w:rFonts w:cstheme="minorHAnsi"/>
              </w:rPr>
            </w:pPr>
            <w:r w:rsidRPr="00737E43">
              <w:rPr>
                <w:rFonts w:cstheme="minorHAnsi"/>
              </w:rPr>
              <w:t>The circle of influence is the area where you may not have direct control over something, but you CAN have a significant impact on the outcome.  (click through)</w:t>
            </w:r>
          </w:p>
          <w:p w14:paraId="1B961599" w14:textId="77777777" w:rsidR="00737E43" w:rsidRPr="00737E43" w:rsidRDefault="00737E43" w:rsidP="00737E43">
            <w:pPr>
              <w:rPr>
                <w:rFonts w:cstheme="minorHAnsi"/>
              </w:rPr>
            </w:pPr>
            <w:r w:rsidRPr="00737E43">
              <w:rPr>
                <w:rFonts w:cstheme="minorHAnsi"/>
              </w:rPr>
              <w:t xml:space="preserve">Finally, there is the circle of control.  This is where you can directly make decisions– what YOU do.  These may be small things, or they may be large things.  </w:t>
            </w:r>
          </w:p>
          <w:p w14:paraId="2C807955" w14:textId="77777777" w:rsidR="00737E43" w:rsidRDefault="00737E43" w:rsidP="00737E43">
            <w:pPr>
              <w:rPr>
                <w:rFonts w:cstheme="minorHAnsi"/>
              </w:rPr>
            </w:pPr>
          </w:p>
          <w:p w14:paraId="67C7485A" w14:textId="7B2DF0EC" w:rsidR="00737E43" w:rsidRPr="00737E43" w:rsidRDefault="00737E43" w:rsidP="00737E43">
            <w:pPr>
              <w:rPr>
                <w:rFonts w:cstheme="minorHAnsi"/>
              </w:rPr>
            </w:pPr>
            <w:r w:rsidRPr="00737E43">
              <w:rPr>
                <w:rFonts w:cstheme="minorHAnsi"/>
              </w:rPr>
              <w:t xml:space="preserve">Often influence and control will relate to your talents.  I </w:t>
            </w:r>
            <w:r w:rsidRPr="00737E43">
              <w:rPr>
                <w:rFonts w:cstheme="minorHAnsi"/>
                <w:i/>
                <w:iCs/>
              </w:rPr>
              <w:t>could</w:t>
            </w:r>
            <w:r w:rsidRPr="00737E43">
              <w:rPr>
                <w:rFonts w:cstheme="minorHAnsi"/>
              </w:rPr>
              <w:t xml:space="preserve"> spend my time doing community based participatory research exploring the impact of racism on asthma, for </w:t>
            </w:r>
            <w:r w:rsidRPr="00737E43">
              <w:rPr>
                <w:rFonts w:cstheme="minorHAnsi"/>
              </w:rPr>
              <w:lastRenderedPageBreak/>
              <w:t xml:space="preserve">example.  Except for me, this is not really where my talents and passions lie; they are in education and curriculum development.  </w:t>
            </w:r>
            <w:proofErr w:type="gramStart"/>
            <w:r w:rsidRPr="00737E43">
              <w:rPr>
                <w:rFonts w:cstheme="minorHAnsi"/>
              </w:rPr>
              <w:t>So</w:t>
            </w:r>
            <w:proofErr w:type="gramEnd"/>
            <w:r w:rsidRPr="00737E43">
              <w:rPr>
                <w:rFonts w:cstheme="minorHAnsi"/>
              </w:rPr>
              <w:t xml:space="preserve"> some of this is finding your little sphere where your effort and talent is best spent, and capitalizing on that.  If you have a particular strength, or a particular voice in something (like you are the person in your large extended family that everyone trusts and comes to for advice), maybe that is where you focus your effort.  This can shift over your career.</w:t>
            </w:r>
          </w:p>
          <w:p w14:paraId="091A1610" w14:textId="730CD17C" w:rsidR="00737E43" w:rsidRPr="00737E43" w:rsidRDefault="00737E43" w:rsidP="00893DA3">
            <w:pPr>
              <w:rPr>
                <w:rFonts w:cstheme="minorHAnsi"/>
              </w:rPr>
            </w:pPr>
          </w:p>
        </w:tc>
        <w:tc>
          <w:tcPr>
            <w:tcW w:w="1530" w:type="dxa"/>
          </w:tcPr>
          <w:p w14:paraId="48CD28E5" w14:textId="36BFBBF5" w:rsidR="00A5654F" w:rsidRDefault="00737E43" w:rsidP="00893DA3">
            <w:pPr>
              <w:rPr>
                <w:rFonts w:cstheme="minorHAnsi"/>
              </w:rPr>
            </w:pPr>
            <w:r>
              <w:rPr>
                <w:rFonts w:cstheme="minorHAnsi"/>
              </w:rPr>
              <w:lastRenderedPageBreak/>
              <w:t>Suggest editing slide 3 to include some personal examples for the facilitator</w:t>
            </w:r>
          </w:p>
        </w:tc>
        <w:tc>
          <w:tcPr>
            <w:tcW w:w="1350" w:type="dxa"/>
          </w:tcPr>
          <w:p w14:paraId="01A6C52B" w14:textId="77777777" w:rsidR="00A5654F" w:rsidRDefault="00A5654F" w:rsidP="00893DA3">
            <w:pPr>
              <w:rPr>
                <w:rFonts w:cstheme="minorHAnsi"/>
              </w:rPr>
            </w:pPr>
          </w:p>
        </w:tc>
      </w:tr>
      <w:tr w:rsidR="00A5654F" w14:paraId="32131285" w14:textId="77777777" w:rsidTr="00A5654F">
        <w:tc>
          <w:tcPr>
            <w:tcW w:w="1027" w:type="dxa"/>
          </w:tcPr>
          <w:p w14:paraId="2D6C1FB3" w14:textId="77777777" w:rsidR="00A5654F" w:rsidRDefault="00827E19" w:rsidP="00893DA3">
            <w:pPr>
              <w:rPr>
                <w:rFonts w:cstheme="minorHAnsi"/>
              </w:rPr>
            </w:pPr>
            <w:r>
              <w:rPr>
                <w:rFonts w:cstheme="minorHAnsi"/>
              </w:rPr>
              <w:t>5</w:t>
            </w:r>
            <w:r w:rsidR="00477214">
              <w:rPr>
                <w:rFonts w:cstheme="minorHAnsi"/>
              </w:rPr>
              <w:t xml:space="preserve"> min</w:t>
            </w:r>
          </w:p>
        </w:tc>
        <w:tc>
          <w:tcPr>
            <w:tcW w:w="1121" w:type="dxa"/>
          </w:tcPr>
          <w:p w14:paraId="2808D771" w14:textId="77777777" w:rsidR="00A5654F" w:rsidRDefault="00827E19" w:rsidP="00893DA3">
            <w:pPr>
              <w:rPr>
                <w:rFonts w:cstheme="minorHAnsi"/>
              </w:rPr>
            </w:pPr>
            <w:r>
              <w:rPr>
                <w:rFonts w:cstheme="minorHAnsi"/>
              </w:rPr>
              <w:t>Individual work</w:t>
            </w:r>
          </w:p>
        </w:tc>
        <w:tc>
          <w:tcPr>
            <w:tcW w:w="8557" w:type="dxa"/>
          </w:tcPr>
          <w:p w14:paraId="2121B63D" w14:textId="77777777" w:rsidR="00737E43" w:rsidRDefault="00737E43" w:rsidP="00893DA3">
            <w:pPr>
              <w:rPr>
                <w:rFonts w:cstheme="minorHAnsi"/>
              </w:rPr>
            </w:pPr>
          </w:p>
          <w:p w14:paraId="763DD37A" w14:textId="60F138ED" w:rsidR="00AB49A1" w:rsidRDefault="00827E19" w:rsidP="00893DA3">
            <w:pPr>
              <w:rPr>
                <w:rFonts w:cstheme="minorHAnsi"/>
              </w:rPr>
            </w:pPr>
            <w:r>
              <w:rPr>
                <w:rFonts w:cstheme="minorHAnsi"/>
              </w:rPr>
              <w:t>Draw personal circles of Influence diagram</w:t>
            </w:r>
          </w:p>
        </w:tc>
        <w:tc>
          <w:tcPr>
            <w:tcW w:w="1530" w:type="dxa"/>
          </w:tcPr>
          <w:p w14:paraId="3CE6EFD3" w14:textId="77777777" w:rsidR="00A5654F" w:rsidRDefault="00A5654F" w:rsidP="00893DA3">
            <w:pPr>
              <w:rPr>
                <w:rFonts w:cstheme="minorHAnsi"/>
              </w:rPr>
            </w:pPr>
          </w:p>
        </w:tc>
        <w:tc>
          <w:tcPr>
            <w:tcW w:w="1350" w:type="dxa"/>
          </w:tcPr>
          <w:p w14:paraId="028B38EA" w14:textId="77777777" w:rsidR="00A5654F" w:rsidRDefault="00A5654F" w:rsidP="00893DA3">
            <w:pPr>
              <w:rPr>
                <w:rFonts w:cstheme="minorHAnsi"/>
              </w:rPr>
            </w:pPr>
          </w:p>
        </w:tc>
      </w:tr>
      <w:tr w:rsidR="00AB49A1" w14:paraId="57B750B7" w14:textId="77777777" w:rsidTr="00A5654F">
        <w:tc>
          <w:tcPr>
            <w:tcW w:w="1027" w:type="dxa"/>
          </w:tcPr>
          <w:p w14:paraId="20BA43EC" w14:textId="77777777" w:rsidR="00AB49A1" w:rsidRDefault="00827E19" w:rsidP="00893DA3">
            <w:pPr>
              <w:rPr>
                <w:rFonts w:cstheme="minorHAnsi"/>
              </w:rPr>
            </w:pPr>
            <w:r>
              <w:rPr>
                <w:rFonts w:cstheme="minorHAnsi"/>
              </w:rPr>
              <w:t>10 min</w:t>
            </w:r>
          </w:p>
        </w:tc>
        <w:tc>
          <w:tcPr>
            <w:tcW w:w="1121" w:type="dxa"/>
          </w:tcPr>
          <w:p w14:paraId="24CC89C8" w14:textId="77777777" w:rsidR="00AB49A1" w:rsidRDefault="00827E19" w:rsidP="00893DA3">
            <w:pPr>
              <w:rPr>
                <w:rFonts w:cstheme="minorHAnsi"/>
              </w:rPr>
            </w:pPr>
            <w:r>
              <w:rPr>
                <w:rFonts w:cstheme="minorHAnsi"/>
              </w:rPr>
              <w:t>Pair work</w:t>
            </w:r>
          </w:p>
        </w:tc>
        <w:tc>
          <w:tcPr>
            <w:tcW w:w="8557" w:type="dxa"/>
          </w:tcPr>
          <w:p w14:paraId="55CE775A" w14:textId="77777777" w:rsidR="00827E19" w:rsidRDefault="00827E19" w:rsidP="00893DA3">
            <w:pPr>
              <w:rPr>
                <w:rFonts w:cstheme="minorHAnsi"/>
              </w:rPr>
            </w:pPr>
            <w:r>
              <w:rPr>
                <w:rFonts w:cstheme="minorHAnsi"/>
              </w:rPr>
              <w:t xml:space="preserve">Consider your own circles of concern, control and influence.  </w:t>
            </w:r>
          </w:p>
          <w:p w14:paraId="6CC58C49" w14:textId="77777777" w:rsidR="00827E19" w:rsidRDefault="00827E19" w:rsidP="00893DA3">
            <w:pPr>
              <w:rPr>
                <w:rFonts w:cstheme="minorHAnsi"/>
              </w:rPr>
            </w:pPr>
          </w:p>
          <w:p w14:paraId="71A3CF7E" w14:textId="77777777" w:rsidR="00827E19" w:rsidRDefault="00827E19" w:rsidP="00893DA3">
            <w:pPr>
              <w:rPr>
                <w:rFonts w:cstheme="minorHAnsi"/>
              </w:rPr>
            </w:pPr>
            <w:r>
              <w:rPr>
                <w:rFonts w:cstheme="minorHAnsi"/>
              </w:rPr>
              <w:t>Focus especially on where you have CONTROL and INFLUENCE</w:t>
            </w:r>
          </w:p>
          <w:p w14:paraId="345C0218" w14:textId="77777777" w:rsidR="00827E19" w:rsidRDefault="00827E19" w:rsidP="00893DA3">
            <w:pPr>
              <w:rPr>
                <w:rFonts w:cstheme="minorHAnsi"/>
              </w:rPr>
            </w:pPr>
          </w:p>
          <w:p w14:paraId="48C92D28" w14:textId="77777777" w:rsidR="00827E19" w:rsidRDefault="00827E19" w:rsidP="00893DA3">
            <w:pPr>
              <w:rPr>
                <w:rFonts w:cstheme="minorHAnsi"/>
              </w:rPr>
            </w:pPr>
            <w:r w:rsidRPr="00827E19">
              <w:rPr>
                <w:rFonts w:cstheme="minorHAnsi"/>
                <w:i/>
              </w:rPr>
              <w:t>How can the “laws of power” be leveraged to place more power (as it relates to the health care system in particular) in the hands of those who are oppressed?</w:t>
            </w:r>
          </w:p>
          <w:p w14:paraId="68D63A96" w14:textId="77777777" w:rsidR="00827E19" w:rsidRDefault="00827E19" w:rsidP="00893DA3">
            <w:pPr>
              <w:rPr>
                <w:rFonts w:cstheme="minorHAnsi"/>
              </w:rPr>
            </w:pPr>
          </w:p>
          <w:p w14:paraId="7D926B46" w14:textId="77777777" w:rsidR="00827E19" w:rsidRPr="00827E19" w:rsidRDefault="00827E19" w:rsidP="00893DA3">
            <w:pPr>
              <w:rPr>
                <w:rFonts w:cstheme="minorHAnsi"/>
              </w:rPr>
            </w:pPr>
            <w:r>
              <w:rPr>
                <w:rFonts w:cstheme="minorHAnsi"/>
              </w:rPr>
              <w:t>Work with a partner to develop at least 2 SMART goals—things you could do, by when, to start shifting power.  They can be small or big!</w:t>
            </w:r>
          </w:p>
        </w:tc>
        <w:tc>
          <w:tcPr>
            <w:tcW w:w="1530" w:type="dxa"/>
          </w:tcPr>
          <w:p w14:paraId="752A5403" w14:textId="77777777" w:rsidR="00AB49A1" w:rsidRDefault="00AB49A1" w:rsidP="00893DA3">
            <w:pPr>
              <w:rPr>
                <w:rFonts w:cstheme="minorHAnsi"/>
              </w:rPr>
            </w:pPr>
          </w:p>
        </w:tc>
        <w:tc>
          <w:tcPr>
            <w:tcW w:w="1350" w:type="dxa"/>
          </w:tcPr>
          <w:p w14:paraId="73E5F365" w14:textId="77777777" w:rsidR="00AB49A1" w:rsidRDefault="00AB49A1" w:rsidP="00893DA3">
            <w:pPr>
              <w:rPr>
                <w:rFonts w:cstheme="minorHAnsi"/>
              </w:rPr>
            </w:pPr>
          </w:p>
        </w:tc>
      </w:tr>
      <w:tr w:rsidR="00827E19" w14:paraId="7FE97EB0" w14:textId="77777777" w:rsidTr="00A5654F">
        <w:tc>
          <w:tcPr>
            <w:tcW w:w="1027" w:type="dxa"/>
          </w:tcPr>
          <w:p w14:paraId="2EA07365" w14:textId="555224B7" w:rsidR="00827E19" w:rsidRDefault="00827E19" w:rsidP="00893DA3">
            <w:pPr>
              <w:rPr>
                <w:rFonts w:cstheme="minorHAnsi"/>
              </w:rPr>
            </w:pPr>
            <w:r>
              <w:rPr>
                <w:rFonts w:cstheme="minorHAnsi"/>
              </w:rPr>
              <w:t>5</w:t>
            </w:r>
            <w:r w:rsidR="00C96508">
              <w:rPr>
                <w:rFonts w:cstheme="minorHAnsi"/>
              </w:rPr>
              <w:t>-10</w:t>
            </w:r>
            <w:r>
              <w:rPr>
                <w:rFonts w:cstheme="minorHAnsi"/>
              </w:rPr>
              <w:t xml:space="preserve"> min</w:t>
            </w:r>
          </w:p>
        </w:tc>
        <w:tc>
          <w:tcPr>
            <w:tcW w:w="1121" w:type="dxa"/>
          </w:tcPr>
          <w:p w14:paraId="5C77A748" w14:textId="77777777" w:rsidR="00827E19" w:rsidRDefault="00827E19" w:rsidP="00893DA3">
            <w:pPr>
              <w:rPr>
                <w:rFonts w:cstheme="minorHAnsi"/>
              </w:rPr>
            </w:pPr>
            <w:r>
              <w:rPr>
                <w:rFonts w:cstheme="minorHAnsi"/>
              </w:rPr>
              <w:t>Large group</w:t>
            </w:r>
          </w:p>
        </w:tc>
        <w:tc>
          <w:tcPr>
            <w:tcW w:w="8557" w:type="dxa"/>
          </w:tcPr>
          <w:p w14:paraId="75595AD5" w14:textId="5192C7F1" w:rsidR="00827E19" w:rsidRDefault="00C96508" w:rsidP="00893DA3">
            <w:pPr>
              <w:rPr>
                <w:rFonts w:cstheme="minorHAnsi"/>
              </w:rPr>
            </w:pPr>
            <w:r>
              <w:rPr>
                <w:rFonts w:cstheme="minorHAnsi"/>
              </w:rPr>
              <w:t xml:space="preserve">As time permits: </w:t>
            </w:r>
            <w:r w:rsidR="00827E19">
              <w:rPr>
                <w:rFonts w:cstheme="minorHAnsi"/>
              </w:rPr>
              <w:t>Report SMART goals to the group.  If there are things that require group effort, consider actions you may want to take (anything amenable to a QI or scholarly project??)</w:t>
            </w:r>
          </w:p>
        </w:tc>
        <w:tc>
          <w:tcPr>
            <w:tcW w:w="1530" w:type="dxa"/>
          </w:tcPr>
          <w:p w14:paraId="7FFE89DF" w14:textId="77777777" w:rsidR="00827E19" w:rsidRDefault="00827E19" w:rsidP="00893DA3">
            <w:pPr>
              <w:rPr>
                <w:rFonts w:cstheme="minorHAnsi"/>
              </w:rPr>
            </w:pPr>
          </w:p>
        </w:tc>
        <w:tc>
          <w:tcPr>
            <w:tcW w:w="1350" w:type="dxa"/>
          </w:tcPr>
          <w:p w14:paraId="62FC30D0" w14:textId="77777777" w:rsidR="00827E19" w:rsidRDefault="00827E19" w:rsidP="00893DA3">
            <w:pPr>
              <w:rPr>
                <w:rFonts w:cstheme="minorHAnsi"/>
              </w:rPr>
            </w:pPr>
          </w:p>
        </w:tc>
      </w:tr>
    </w:tbl>
    <w:p w14:paraId="3BAE320E" w14:textId="77777777" w:rsidR="00480930" w:rsidRDefault="00480930" w:rsidP="00480930">
      <w:pPr>
        <w:pStyle w:val="ListParagraph"/>
      </w:pPr>
    </w:p>
    <w:p w14:paraId="24C31057" w14:textId="77777777" w:rsidR="00B14FEA" w:rsidRDefault="00B14FEA" w:rsidP="00B14FEA"/>
    <w:p w14:paraId="6A56977E"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9CB0" w16cex:dateUtc="2022-06-28T02:16:00Z"/>
  <w16cex:commentExtensible w16cex:durableId="26649A1E" w16cex:dateUtc="2022-06-28T02: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4C7009"/>
    <w:multiLevelType w:val="hybridMultilevel"/>
    <w:tmpl w:val="ABC05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5E0833"/>
    <w:multiLevelType w:val="hybridMultilevel"/>
    <w:tmpl w:val="5D12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9D6649"/>
    <w:multiLevelType w:val="hybridMultilevel"/>
    <w:tmpl w:val="7C50AA1C"/>
    <w:lvl w:ilvl="0" w:tplc="A99C3CDC">
      <w:start w:val="1"/>
      <w:numFmt w:val="bullet"/>
      <w:lvlText w:val="•"/>
      <w:lvlJc w:val="left"/>
      <w:pPr>
        <w:tabs>
          <w:tab w:val="num" w:pos="720"/>
        </w:tabs>
        <w:ind w:left="720" w:hanging="360"/>
      </w:pPr>
      <w:rPr>
        <w:rFonts w:ascii="Arial" w:hAnsi="Arial" w:hint="default"/>
      </w:rPr>
    </w:lvl>
    <w:lvl w:ilvl="1" w:tplc="48BCB686" w:tentative="1">
      <w:start w:val="1"/>
      <w:numFmt w:val="bullet"/>
      <w:lvlText w:val="•"/>
      <w:lvlJc w:val="left"/>
      <w:pPr>
        <w:tabs>
          <w:tab w:val="num" w:pos="1440"/>
        </w:tabs>
        <w:ind w:left="1440" w:hanging="360"/>
      </w:pPr>
      <w:rPr>
        <w:rFonts w:ascii="Arial" w:hAnsi="Arial" w:hint="default"/>
      </w:rPr>
    </w:lvl>
    <w:lvl w:ilvl="2" w:tplc="A9665648" w:tentative="1">
      <w:start w:val="1"/>
      <w:numFmt w:val="bullet"/>
      <w:lvlText w:val="•"/>
      <w:lvlJc w:val="left"/>
      <w:pPr>
        <w:tabs>
          <w:tab w:val="num" w:pos="2160"/>
        </w:tabs>
        <w:ind w:left="2160" w:hanging="360"/>
      </w:pPr>
      <w:rPr>
        <w:rFonts w:ascii="Arial" w:hAnsi="Arial" w:hint="default"/>
      </w:rPr>
    </w:lvl>
    <w:lvl w:ilvl="3" w:tplc="74FAFA84" w:tentative="1">
      <w:start w:val="1"/>
      <w:numFmt w:val="bullet"/>
      <w:lvlText w:val="•"/>
      <w:lvlJc w:val="left"/>
      <w:pPr>
        <w:tabs>
          <w:tab w:val="num" w:pos="2880"/>
        </w:tabs>
        <w:ind w:left="2880" w:hanging="360"/>
      </w:pPr>
      <w:rPr>
        <w:rFonts w:ascii="Arial" w:hAnsi="Arial" w:hint="default"/>
      </w:rPr>
    </w:lvl>
    <w:lvl w:ilvl="4" w:tplc="642ED4F6" w:tentative="1">
      <w:start w:val="1"/>
      <w:numFmt w:val="bullet"/>
      <w:lvlText w:val="•"/>
      <w:lvlJc w:val="left"/>
      <w:pPr>
        <w:tabs>
          <w:tab w:val="num" w:pos="3600"/>
        </w:tabs>
        <w:ind w:left="3600" w:hanging="360"/>
      </w:pPr>
      <w:rPr>
        <w:rFonts w:ascii="Arial" w:hAnsi="Arial" w:hint="default"/>
      </w:rPr>
    </w:lvl>
    <w:lvl w:ilvl="5" w:tplc="7CA2D1B2" w:tentative="1">
      <w:start w:val="1"/>
      <w:numFmt w:val="bullet"/>
      <w:lvlText w:val="•"/>
      <w:lvlJc w:val="left"/>
      <w:pPr>
        <w:tabs>
          <w:tab w:val="num" w:pos="4320"/>
        </w:tabs>
        <w:ind w:left="4320" w:hanging="360"/>
      </w:pPr>
      <w:rPr>
        <w:rFonts w:ascii="Arial" w:hAnsi="Arial" w:hint="default"/>
      </w:rPr>
    </w:lvl>
    <w:lvl w:ilvl="6" w:tplc="51440A10" w:tentative="1">
      <w:start w:val="1"/>
      <w:numFmt w:val="bullet"/>
      <w:lvlText w:val="•"/>
      <w:lvlJc w:val="left"/>
      <w:pPr>
        <w:tabs>
          <w:tab w:val="num" w:pos="5040"/>
        </w:tabs>
        <w:ind w:left="5040" w:hanging="360"/>
      </w:pPr>
      <w:rPr>
        <w:rFonts w:ascii="Arial" w:hAnsi="Arial" w:hint="default"/>
      </w:rPr>
    </w:lvl>
    <w:lvl w:ilvl="7" w:tplc="713A3AD4" w:tentative="1">
      <w:start w:val="1"/>
      <w:numFmt w:val="bullet"/>
      <w:lvlText w:val="•"/>
      <w:lvlJc w:val="left"/>
      <w:pPr>
        <w:tabs>
          <w:tab w:val="num" w:pos="5760"/>
        </w:tabs>
        <w:ind w:left="5760" w:hanging="360"/>
      </w:pPr>
      <w:rPr>
        <w:rFonts w:ascii="Arial" w:hAnsi="Arial" w:hint="default"/>
      </w:rPr>
    </w:lvl>
    <w:lvl w:ilvl="8" w:tplc="4B58D0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31587"/>
    <w:multiLevelType w:val="hybridMultilevel"/>
    <w:tmpl w:val="D49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5"/>
  </w:num>
  <w:num w:numId="2">
    <w:abstractNumId w:val="2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4"/>
  </w:num>
  <w:num w:numId="9">
    <w:abstractNumId w:val="23"/>
  </w:num>
  <w:num w:numId="10">
    <w:abstractNumId w:val="3"/>
  </w:num>
  <w:num w:numId="11">
    <w:abstractNumId w:val="6"/>
  </w:num>
  <w:num w:numId="12">
    <w:abstractNumId w:val="7"/>
  </w:num>
  <w:num w:numId="13">
    <w:abstractNumId w:val="21"/>
  </w:num>
  <w:num w:numId="14">
    <w:abstractNumId w:val="17"/>
  </w:num>
  <w:num w:numId="15">
    <w:abstractNumId w:val="2"/>
  </w:num>
  <w:num w:numId="16">
    <w:abstractNumId w:val="16"/>
  </w:num>
  <w:num w:numId="17">
    <w:abstractNumId w:val="0"/>
  </w:num>
  <w:num w:numId="18">
    <w:abstractNumId w:val="9"/>
  </w:num>
  <w:num w:numId="19">
    <w:abstractNumId w:val="22"/>
  </w:num>
  <w:num w:numId="20">
    <w:abstractNumId w:val="20"/>
  </w:num>
  <w:num w:numId="21">
    <w:abstractNumId w:val="19"/>
  </w:num>
  <w:num w:numId="22">
    <w:abstractNumId w:val="25"/>
  </w:num>
  <w:num w:numId="23">
    <w:abstractNumId w:val="11"/>
  </w:num>
  <w:num w:numId="24">
    <w:abstractNumId w:val="5"/>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A45E0"/>
    <w:rsid w:val="000E3396"/>
    <w:rsid w:val="00103935"/>
    <w:rsid w:val="001B5E86"/>
    <w:rsid w:val="001D7EBA"/>
    <w:rsid w:val="001E03CC"/>
    <w:rsid w:val="001F11E8"/>
    <w:rsid w:val="001F22C8"/>
    <w:rsid w:val="001F556E"/>
    <w:rsid w:val="002221E6"/>
    <w:rsid w:val="00272C77"/>
    <w:rsid w:val="002D61C8"/>
    <w:rsid w:val="002E2F82"/>
    <w:rsid w:val="00357BED"/>
    <w:rsid w:val="00367F75"/>
    <w:rsid w:val="003800A6"/>
    <w:rsid w:val="003B4D86"/>
    <w:rsid w:val="0043701F"/>
    <w:rsid w:val="00442518"/>
    <w:rsid w:val="00477214"/>
    <w:rsid w:val="00480930"/>
    <w:rsid w:val="004D6926"/>
    <w:rsid w:val="00520F48"/>
    <w:rsid w:val="005C0D7F"/>
    <w:rsid w:val="005C3CC9"/>
    <w:rsid w:val="005F36F4"/>
    <w:rsid w:val="00632D38"/>
    <w:rsid w:val="0069511D"/>
    <w:rsid w:val="006B5352"/>
    <w:rsid w:val="00727F74"/>
    <w:rsid w:val="00737E43"/>
    <w:rsid w:val="007904E4"/>
    <w:rsid w:val="00827E19"/>
    <w:rsid w:val="00837791"/>
    <w:rsid w:val="00842EAE"/>
    <w:rsid w:val="008652F8"/>
    <w:rsid w:val="00891EFF"/>
    <w:rsid w:val="00893DA3"/>
    <w:rsid w:val="008D4A40"/>
    <w:rsid w:val="009023DC"/>
    <w:rsid w:val="00A5654F"/>
    <w:rsid w:val="00A80C4A"/>
    <w:rsid w:val="00AB49A1"/>
    <w:rsid w:val="00AB71CE"/>
    <w:rsid w:val="00AE26F6"/>
    <w:rsid w:val="00AE2CBC"/>
    <w:rsid w:val="00B14FEA"/>
    <w:rsid w:val="00B63438"/>
    <w:rsid w:val="00BC226B"/>
    <w:rsid w:val="00BD7B40"/>
    <w:rsid w:val="00C23BC0"/>
    <w:rsid w:val="00C44B1F"/>
    <w:rsid w:val="00C96508"/>
    <w:rsid w:val="00C967AD"/>
    <w:rsid w:val="00CB1B12"/>
    <w:rsid w:val="00CE57D3"/>
    <w:rsid w:val="00D431DF"/>
    <w:rsid w:val="00D44393"/>
    <w:rsid w:val="00DB69F2"/>
    <w:rsid w:val="00DC344D"/>
    <w:rsid w:val="00E02105"/>
    <w:rsid w:val="00E24E75"/>
    <w:rsid w:val="00E53EB3"/>
    <w:rsid w:val="00E929CC"/>
    <w:rsid w:val="00EE6C86"/>
    <w:rsid w:val="00F051BF"/>
    <w:rsid w:val="00F20AD5"/>
    <w:rsid w:val="00F41003"/>
    <w:rsid w:val="00F5336C"/>
    <w:rsid w:val="00F544E6"/>
    <w:rsid w:val="00F746EF"/>
    <w:rsid w:val="00FA334A"/>
    <w:rsid w:val="00FF227D"/>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522A"/>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227D"/>
    <w:rPr>
      <w:sz w:val="16"/>
      <w:szCs w:val="16"/>
    </w:rPr>
  </w:style>
  <w:style w:type="paragraph" w:styleId="CommentText">
    <w:name w:val="annotation text"/>
    <w:basedOn w:val="Normal"/>
    <w:link w:val="CommentTextChar"/>
    <w:uiPriority w:val="99"/>
    <w:semiHidden/>
    <w:unhideWhenUsed/>
    <w:rsid w:val="00FF227D"/>
    <w:pPr>
      <w:spacing w:line="240" w:lineRule="auto"/>
    </w:pPr>
    <w:rPr>
      <w:sz w:val="20"/>
      <w:szCs w:val="20"/>
    </w:rPr>
  </w:style>
  <w:style w:type="character" w:customStyle="1" w:styleId="CommentTextChar">
    <w:name w:val="Comment Text Char"/>
    <w:basedOn w:val="DefaultParagraphFont"/>
    <w:link w:val="CommentText"/>
    <w:uiPriority w:val="99"/>
    <w:semiHidden/>
    <w:rsid w:val="00FF227D"/>
    <w:rPr>
      <w:sz w:val="20"/>
      <w:szCs w:val="20"/>
    </w:rPr>
  </w:style>
  <w:style w:type="paragraph" w:styleId="CommentSubject">
    <w:name w:val="annotation subject"/>
    <w:basedOn w:val="CommentText"/>
    <w:next w:val="CommentText"/>
    <w:link w:val="CommentSubjectChar"/>
    <w:uiPriority w:val="99"/>
    <w:semiHidden/>
    <w:unhideWhenUsed/>
    <w:rsid w:val="00FF227D"/>
    <w:rPr>
      <w:b/>
      <w:bCs/>
    </w:rPr>
  </w:style>
  <w:style w:type="character" w:customStyle="1" w:styleId="CommentSubjectChar">
    <w:name w:val="Comment Subject Char"/>
    <w:basedOn w:val="CommentTextChar"/>
    <w:link w:val="CommentSubject"/>
    <w:uiPriority w:val="99"/>
    <w:semiHidden/>
    <w:rsid w:val="00FF227D"/>
    <w:rPr>
      <w:b/>
      <w:bCs/>
      <w:sz w:val="20"/>
      <w:szCs w:val="20"/>
    </w:rPr>
  </w:style>
  <w:style w:type="paragraph" w:styleId="BalloonText">
    <w:name w:val="Balloon Text"/>
    <w:basedOn w:val="Normal"/>
    <w:link w:val="BalloonTextChar"/>
    <w:uiPriority w:val="99"/>
    <w:semiHidden/>
    <w:unhideWhenUsed/>
    <w:rsid w:val="00737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483">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1061758034">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658145326">
      <w:bodyDiv w:val="1"/>
      <w:marLeft w:val="0"/>
      <w:marRight w:val="0"/>
      <w:marTop w:val="0"/>
      <w:marBottom w:val="0"/>
      <w:divBdr>
        <w:top w:val="none" w:sz="0" w:space="0" w:color="auto"/>
        <w:left w:val="none" w:sz="0" w:space="0" w:color="auto"/>
        <w:bottom w:val="none" w:sz="0" w:space="0" w:color="auto"/>
        <w:right w:val="none" w:sz="0" w:space="0" w:color="auto"/>
      </w:divBdr>
    </w:div>
    <w:div w:id="1757052195">
      <w:bodyDiv w:val="1"/>
      <w:marLeft w:val="0"/>
      <w:marRight w:val="0"/>
      <w:marTop w:val="0"/>
      <w:marBottom w:val="0"/>
      <w:divBdr>
        <w:top w:val="none" w:sz="0" w:space="0" w:color="auto"/>
        <w:left w:val="none" w:sz="0" w:space="0" w:color="auto"/>
        <w:bottom w:val="none" w:sz="0" w:space="0" w:color="auto"/>
        <w:right w:val="none" w:sz="0" w:space="0" w:color="auto"/>
      </w:divBdr>
    </w:div>
    <w:div w:id="1762019950">
      <w:bodyDiv w:val="1"/>
      <w:marLeft w:val="0"/>
      <w:marRight w:val="0"/>
      <w:marTop w:val="0"/>
      <w:marBottom w:val="0"/>
      <w:divBdr>
        <w:top w:val="none" w:sz="0" w:space="0" w:color="auto"/>
        <w:left w:val="none" w:sz="0" w:space="0" w:color="auto"/>
        <w:bottom w:val="none" w:sz="0" w:space="0" w:color="auto"/>
        <w:right w:val="none" w:sz="0" w:space="0" w:color="auto"/>
      </w:divBdr>
      <w:divsChild>
        <w:div w:id="648020106">
          <w:marLeft w:val="360"/>
          <w:marRight w:val="0"/>
          <w:marTop w:val="200"/>
          <w:marBottom w:val="0"/>
          <w:divBdr>
            <w:top w:val="none" w:sz="0" w:space="0" w:color="auto"/>
            <w:left w:val="none" w:sz="0" w:space="0" w:color="auto"/>
            <w:bottom w:val="none" w:sz="0" w:space="0" w:color="auto"/>
            <w:right w:val="none" w:sz="0" w:space="0" w:color="auto"/>
          </w:divBdr>
        </w:div>
        <w:div w:id="1161584109">
          <w:marLeft w:val="360"/>
          <w:marRight w:val="0"/>
          <w:marTop w:val="200"/>
          <w:marBottom w:val="0"/>
          <w:divBdr>
            <w:top w:val="none" w:sz="0" w:space="0" w:color="auto"/>
            <w:left w:val="none" w:sz="0" w:space="0" w:color="auto"/>
            <w:bottom w:val="none" w:sz="0" w:space="0" w:color="auto"/>
            <w:right w:val="none" w:sz="0" w:space="0" w:color="auto"/>
          </w:divBdr>
        </w:div>
        <w:div w:id="1789353386">
          <w:marLeft w:val="360"/>
          <w:marRight w:val="0"/>
          <w:marTop w:val="200"/>
          <w:marBottom w:val="0"/>
          <w:divBdr>
            <w:top w:val="none" w:sz="0" w:space="0" w:color="auto"/>
            <w:left w:val="none" w:sz="0" w:space="0" w:color="auto"/>
            <w:bottom w:val="none" w:sz="0" w:space="0" w:color="auto"/>
            <w:right w:val="none" w:sz="0" w:space="0" w:color="auto"/>
          </w:divBdr>
        </w:div>
      </w:divsChild>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_Eutci7ack&amp;t=190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A1BB-189A-42F4-B86B-FB3A520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12</cp:revision>
  <dcterms:created xsi:type="dcterms:W3CDTF">2022-05-05T17:42:00Z</dcterms:created>
  <dcterms:modified xsi:type="dcterms:W3CDTF">2022-06-30T17:08:00Z</dcterms:modified>
</cp:coreProperties>
</file>